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C9D9" w14:textId="49A36A79" w:rsidR="00901B13" w:rsidRDefault="00D06938" w:rsidP="00D06938">
      <w:pPr>
        <w:pStyle w:val="ekvue2arial"/>
      </w:pPr>
      <w:bookmarkStart w:id="0" w:name="bmStart"/>
      <w:bookmarkStart w:id="1" w:name="_Hlk100560114"/>
      <w:bookmarkEnd w:id="0"/>
      <w:r>
        <w:t xml:space="preserve">Steckbrief: Ludwig Wittgenstein </w:t>
      </w:r>
    </w:p>
    <w:p w14:paraId="1D386DB0" w14:textId="7190AD44" w:rsidR="00D06938" w:rsidRDefault="00D06938" w:rsidP="00D06938">
      <w:pPr>
        <w:pStyle w:val="ekvue2arial"/>
      </w:pPr>
    </w:p>
    <w:p w14:paraId="794DE714" w14:textId="5D1B62A4" w:rsidR="00462BEF" w:rsidRDefault="004C5EA4" w:rsidP="00580860">
      <w:pPr>
        <w:pStyle w:val="ekvschreiblinie"/>
      </w:pPr>
      <w:r>
        <w:t>Ludwig Josef Johann Wittgenstein wurde am 26.April 1889 in Wien geboren</w:t>
      </w:r>
      <w:r w:rsidR="00A6768E">
        <w:t xml:space="preserve"> und gilt heute als Hauptvertreter der </w:t>
      </w:r>
      <w:r w:rsidR="00580860" w:rsidRPr="008A0183">
        <w:rPr>
          <w:rStyle w:val="ekvlsungunterstrichenausgeblendet"/>
        </w:rPr>
        <w:t xml:space="preserve">      </w:t>
      </w:r>
      <w:r w:rsidR="00A6768E" w:rsidRPr="008A0183">
        <w:rPr>
          <w:rStyle w:val="ekvlsungunterstrichenausgeblendet"/>
        </w:rPr>
        <w:t>analytischen</w:t>
      </w:r>
      <w:r w:rsidR="00580860" w:rsidRPr="008A0183">
        <w:rPr>
          <w:rStyle w:val="ekvlsungunterstrichenausgeblendet"/>
        </w:rPr>
        <w:t xml:space="preserve">      </w:t>
      </w:r>
      <w:r w:rsidR="00A6768E">
        <w:t xml:space="preserve"> </w:t>
      </w:r>
      <w:r w:rsidR="00580860">
        <w:t>Sprachp</w:t>
      </w:r>
      <w:r w:rsidR="00A6768E">
        <w:t>hilosophie</w:t>
      </w:r>
      <w:r>
        <w:t xml:space="preserve">. </w:t>
      </w:r>
      <w:r w:rsidR="00943E33">
        <w:t xml:space="preserve">Er wuchs als Jüngster von acht Kindern in einer wohlhabenden jüdischen </w:t>
      </w:r>
      <w:r w:rsidR="00943E33" w:rsidRPr="00943E33">
        <w:t>Industriellenfamilie</w:t>
      </w:r>
      <w:r w:rsidR="005C111D">
        <w:t xml:space="preserve"> auf</w:t>
      </w:r>
      <w:r w:rsidR="00943E33">
        <w:t xml:space="preserve">. Sein Zuhause, das </w:t>
      </w:r>
      <w:r w:rsidR="00580860" w:rsidRPr="008A0183">
        <w:rPr>
          <w:rStyle w:val="ekvlsungunterstrichenausgeblendet"/>
        </w:rPr>
        <w:t xml:space="preserve">          </w:t>
      </w:r>
      <w:r w:rsidR="00943E33" w:rsidRPr="008A0183">
        <w:rPr>
          <w:rStyle w:val="ekvlsungunterstrichenausgeblendet"/>
        </w:rPr>
        <w:t>Palais Wittgenstein</w:t>
      </w:r>
      <w:r w:rsidR="00580860" w:rsidRPr="008A0183">
        <w:rPr>
          <w:rStyle w:val="ekvlsungunterstrichenausgeblendet"/>
        </w:rPr>
        <w:t xml:space="preserve">        </w:t>
      </w:r>
      <w:proofErr w:type="gramStart"/>
      <w:r w:rsidR="00580860" w:rsidRPr="008A0183">
        <w:rPr>
          <w:rStyle w:val="ekvlsungunterstrichenausgeblendet"/>
        </w:rPr>
        <w:t xml:space="preserve">  </w:t>
      </w:r>
      <w:r w:rsidR="00943E33">
        <w:t>,</w:t>
      </w:r>
      <w:proofErr w:type="gramEnd"/>
      <w:r w:rsidR="00943E33">
        <w:t xml:space="preserve"> war als kulturelles Zentrum in Wien bekannt. Wittgenstein selbst dagegen galt zunächst als untalentiert. </w:t>
      </w:r>
      <w:r w:rsidR="00C65344">
        <w:t xml:space="preserve">Seinem Vater zuliebe begann er in Berlin </w:t>
      </w:r>
      <w:r w:rsidR="00580860" w:rsidRPr="008A0183">
        <w:rPr>
          <w:rStyle w:val="ekvlsungunterstrichenausgeblendet"/>
        </w:rPr>
        <w:t xml:space="preserve">              </w:t>
      </w:r>
      <w:r w:rsidR="00C65344" w:rsidRPr="008A0183">
        <w:rPr>
          <w:rStyle w:val="ekvlsungunterstrichenausgeblendet"/>
        </w:rPr>
        <w:t>Ingenieurswissenschaften</w:t>
      </w:r>
      <w:r w:rsidR="00580860" w:rsidRPr="008A0183">
        <w:rPr>
          <w:rStyle w:val="ekvlsungunterstrichenausgeblendet"/>
        </w:rPr>
        <w:t xml:space="preserve">              </w:t>
      </w:r>
      <w:r w:rsidR="00C65344" w:rsidRPr="00C65344">
        <w:t xml:space="preserve"> zu studieren</w:t>
      </w:r>
      <w:r w:rsidR="00C65344">
        <w:t xml:space="preserve">. Während dieser Zeit beschäftigte er sich viel mit den Texten des Philosophen </w:t>
      </w:r>
      <w:r w:rsidR="00C65344" w:rsidRPr="00C65344">
        <w:t>Ber</w:t>
      </w:r>
      <w:r w:rsidR="008A0183">
        <w:t>trand</w:t>
      </w:r>
      <w:r w:rsidR="00C65344" w:rsidRPr="00C65344">
        <w:t xml:space="preserve"> Russels</w:t>
      </w:r>
      <w:r w:rsidR="00C65344">
        <w:t xml:space="preserve"> und beg</w:t>
      </w:r>
      <w:r w:rsidR="005C111D">
        <w:t>ann</w:t>
      </w:r>
      <w:r w:rsidR="00C65344">
        <w:t xml:space="preserve"> infolgedessen 1912 in</w:t>
      </w:r>
      <w:r w:rsidR="005C111D">
        <w:t xml:space="preserve">       </w:t>
      </w:r>
      <w:r w:rsidR="00C65344">
        <w:t xml:space="preserve"> </w:t>
      </w:r>
      <w:r w:rsidR="00580860" w:rsidRPr="008A0183">
        <w:rPr>
          <w:rStyle w:val="ekvlsungunterstrichenausgeblendet"/>
        </w:rPr>
        <w:t xml:space="preserve"> </w:t>
      </w:r>
      <w:r w:rsidR="005C111D" w:rsidRPr="008A0183">
        <w:rPr>
          <w:rStyle w:val="ekvlsungunterstrichenausgeblendet"/>
        </w:rPr>
        <w:t xml:space="preserve">   </w:t>
      </w:r>
      <w:r w:rsidR="00C65344" w:rsidRPr="008A0183">
        <w:rPr>
          <w:rStyle w:val="ekvlsungunterstrichenausgeblendet"/>
        </w:rPr>
        <w:t>Cambridge</w:t>
      </w:r>
      <w:r w:rsidR="00580860" w:rsidRPr="008A0183">
        <w:rPr>
          <w:rStyle w:val="ekvlsungunterstrichenausgeblendet"/>
        </w:rPr>
        <w:t xml:space="preserve"> </w:t>
      </w:r>
      <w:r w:rsidR="005C111D" w:rsidRPr="008A0183">
        <w:rPr>
          <w:rStyle w:val="ekvlsungunterstrichenausgeblendet"/>
        </w:rPr>
        <w:t xml:space="preserve"> </w:t>
      </w:r>
      <w:r w:rsidR="00C65344">
        <w:t xml:space="preserve"> Philosophie zu studieren. </w:t>
      </w:r>
      <w:r w:rsidR="005C111D">
        <w:t>Als es</w:t>
      </w:r>
      <w:r w:rsidR="00C65344">
        <w:t xml:space="preserve"> sich zu sehr in philosophischen Fragestellungen zu </w:t>
      </w:r>
      <w:r w:rsidR="005C111D">
        <w:t>verrannte</w:t>
      </w:r>
      <w:r w:rsidR="00C65344">
        <w:t xml:space="preserve">, </w:t>
      </w:r>
      <w:r w:rsidR="005C111D">
        <w:t>unterbrach</w:t>
      </w:r>
      <w:r w:rsidR="00C65344">
        <w:t xml:space="preserve"> er sein Studium. </w:t>
      </w:r>
      <w:r w:rsidR="00462BEF">
        <w:t xml:space="preserve">Nachdem er als Soldat im </w:t>
      </w:r>
      <w:r w:rsidR="00580860" w:rsidRPr="008A0183">
        <w:rPr>
          <w:rStyle w:val="ekvlsungunterstrichenausgeblendet"/>
        </w:rPr>
        <w:t xml:space="preserve">         </w:t>
      </w:r>
      <w:r w:rsidR="00462BEF" w:rsidRPr="008A0183">
        <w:rPr>
          <w:rStyle w:val="ekvlsungunterstrichenausgeblendet"/>
        </w:rPr>
        <w:t xml:space="preserve">ersten Weltkrieg </w:t>
      </w:r>
      <w:r w:rsidR="00580860" w:rsidRPr="008A0183">
        <w:rPr>
          <w:rStyle w:val="ekvlsungunterstrichenausgeblendet"/>
        </w:rPr>
        <w:t xml:space="preserve">         </w:t>
      </w:r>
      <w:r w:rsidR="00462BEF">
        <w:t xml:space="preserve">gekämpft und als Hochschullehrer gearbeitet hatte, kehrte er 1929 nach Cambridge zurück. Er promovierte bei den Philosophen </w:t>
      </w:r>
      <w:r w:rsidR="00580860" w:rsidRPr="008A0183">
        <w:rPr>
          <w:rStyle w:val="ekvlsungunterstrichenausgeblendet"/>
        </w:rPr>
        <w:t xml:space="preserve">       </w:t>
      </w:r>
      <w:r w:rsidR="00462BEF" w:rsidRPr="008A0183">
        <w:rPr>
          <w:rStyle w:val="ekvlsungunterstrichenausgeblendet"/>
        </w:rPr>
        <w:t>Ber</w:t>
      </w:r>
      <w:r w:rsidR="008A0183" w:rsidRPr="008A0183">
        <w:rPr>
          <w:rStyle w:val="ekvlsungunterstrichenausgeblendet"/>
        </w:rPr>
        <w:t>trand</w:t>
      </w:r>
      <w:r w:rsidR="00462BEF" w:rsidRPr="008A0183">
        <w:rPr>
          <w:rStyle w:val="ekvlsungunterstrichenausgeblendet"/>
        </w:rPr>
        <w:t xml:space="preserve"> Russel </w:t>
      </w:r>
      <w:r w:rsidR="00580860" w:rsidRPr="008A0183">
        <w:rPr>
          <w:rStyle w:val="ekvlsungunterstrichenausgeblendet"/>
        </w:rPr>
        <w:t xml:space="preserve">       </w:t>
      </w:r>
      <w:r w:rsidR="00462BEF">
        <w:t xml:space="preserve">und </w:t>
      </w:r>
      <w:r w:rsidR="00580860" w:rsidRPr="008A0183">
        <w:rPr>
          <w:rStyle w:val="ekvlsungunterstrichenausgeblendet"/>
        </w:rPr>
        <w:t xml:space="preserve">         </w:t>
      </w:r>
      <w:r w:rsidR="00462BEF" w:rsidRPr="008A0183">
        <w:rPr>
          <w:rStyle w:val="ekvlsungunterstrichenausgeblendet"/>
        </w:rPr>
        <w:t xml:space="preserve">George E. Moore </w:t>
      </w:r>
      <w:r w:rsidR="00580860" w:rsidRPr="008A0183">
        <w:rPr>
          <w:rStyle w:val="ekvlsungunterstrichenausgeblendet"/>
        </w:rPr>
        <w:t xml:space="preserve">         </w:t>
      </w:r>
      <w:r w:rsidR="00462BEF">
        <w:t xml:space="preserve">und war im Anschluss daran selbst als Professor der Philosophie tätig. </w:t>
      </w:r>
      <w:r w:rsidR="00462BEF" w:rsidRPr="00462BEF">
        <w:t xml:space="preserve">Am 29. April 1951 starb </w:t>
      </w:r>
      <w:r w:rsidR="00462BEF">
        <w:t xml:space="preserve">Ludwig </w:t>
      </w:r>
      <w:r w:rsidR="00462BEF" w:rsidRPr="00462BEF">
        <w:t xml:space="preserve">Wittgenstein an Krebs. </w:t>
      </w:r>
    </w:p>
    <w:p w14:paraId="232C30D7" w14:textId="77777777" w:rsidR="00614517" w:rsidRDefault="00462BEF" w:rsidP="00580860">
      <w:pPr>
        <w:pStyle w:val="ekvschreiblinie"/>
      </w:pPr>
      <w:r>
        <w:t>Der Sprachphilosoph ist vor allem für seine zwei Hauptwerke bekannt, in denen er unterschiedliche Ansätze vertritt. Aus diesem Grund spricht</w:t>
      </w:r>
      <w:r w:rsidR="00C45651">
        <w:t xml:space="preserve"> man oft</w:t>
      </w:r>
      <w:r>
        <w:t xml:space="preserve"> von einem </w:t>
      </w:r>
      <w:proofErr w:type="gramStart"/>
      <w:r>
        <w:t>„</w:t>
      </w:r>
      <w:r w:rsidR="00580860" w:rsidRPr="008A0183">
        <w:rPr>
          <w:rStyle w:val="ekvlsungunterstrichenausgeblendet"/>
        </w:rPr>
        <w:t xml:space="preserve">  </w:t>
      </w:r>
      <w:r w:rsidRPr="008A0183">
        <w:rPr>
          <w:rStyle w:val="ekvlsungunterstrichenausgeblendet"/>
        </w:rPr>
        <w:t>alten</w:t>
      </w:r>
      <w:proofErr w:type="gramEnd"/>
      <w:r w:rsidR="00580860" w:rsidRPr="008A0183">
        <w:rPr>
          <w:rStyle w:val="ekvlsungunterstrichenausgeblendet"/>
        </w:rPr>
        <w:t xml:space="preserve">  </w:t>
      </w:r>
      <w:r>
        <w:t>“ und einem „</w:t>
      </w:r>
      <w:r w:rsidR="00580860" w:rsidRPr="008A0183">
        <w:rPr>
          <w:rStyle w:val="ekvlsungunterstrichenausgeblendet"/>
        </w:rPr>
        <w:t xml:space="preserve">   </w:t>
      </w:r>
      <w:r w:rsidRPr="008A0183">
        <w:rPr>
          <w:rStyle w:val="ekvlsungunterstrichenausgeblendet"/>
        </w:rPr>
        <w:t>neuen</w:t>
      </w:r>
      <w:r w:rsidR="00580860" w:rsidRPr="008A0183">
        <w:rPr>
          <w:rStyle w:val="ekvlsungunterstrichenausgeblendet"/>
        </w:rPr>
        <w:t xml:space="preserve">   </w:t>
      </w:r>
      <w:r>
        <w:t>“ Wittgenstein.</w:t>
      </w:r>
      <w:r w:rsidR="00EF154E">
        <w:t xml:space="preserve"> Ihn beschäftigt hauptsächlich </w:t>
      </w:r>
      <w:r w:rsidR="005C111D">
        <w:t xml:space="preserve">die </w:t>
      </w:r>
      <w:r w:rsidR="00EF154E">
        <w:t>Frage, welchen Sinn Sprache hat und welche Bedeutung diese für das philosoph</w:t>
      </w:r>
      <w:r w:rsidR="00D82D6A">
        <w:t>ische Denken hat</w:t>
      </w:r>
      <w:r w:rsidR="00EF154E">
        <w:t xml:space="preserve">. In seinem berühmten </w:t>
      </w:r>
      <w:proofErr w:type="gramStart"/>
      <w:r w:rsidR="00EF154E" w:rsidRPr="00EF154E">
        <w:t>„</w:t>
      </w:r>
      <w:r w:rsidR="00580860" w:rsidRPr="008A0183">
        <w:rPr>
          <w:rStyle w:val="ekvlsungunterstrichenausgeblendet"/>
        </w:rPr>
        <w:t xml:space="preserve">  </w:t>
      </w:r>
      <w:proofErr w:type="gramEnd"/>
      <w:r w:rsidR="00580860" w:rsidRPr="008A0183">
        <w:rPr>
          <w:rStyle w:val="ekvlsungunterstrichenausgeblendet"/>
        </w:rPr>
        <w:t xml:space="preserve">              </w:t>
      </w:r>
      <w:r w:rsidR="00EF154E" w:rsidRPr="008A0183">
        <w:rPr>
          <w:rStyle w:val="ekvlsungunterstrichenausgeblendet"/>
        </w:rPr>
        <w:t xml:space="preserve">Tractatus </w:t>
      </w:r>
      <w:proofErr w:type="spellStart"/>
      <w:r w:rsidR="00EF154E" w:rsidRPr="008A0183">
        <w:rPr>
          <w:rStyle w:val="ekvlsungunterstrichenausgeblendet"/>
        </w:rPr>
        <w:t>logico-philosophicus</w:t>
      </w:r>
      <w:proofErr w:type="spellEnd"/>
      <w:r w:rsidR="00580860" w:rsidRPr="008A0183">
        <w:rPr>
          <w:rStyle w:val="ekvlsungunterstrichenausgeblendet"/>
        </w:rPr>
        <w:t xml:space="preserve">               </w:t>
      </w:r>
      <w:r w:rsidR="00EF154E" w:rsidRPr="00EF154E">
        <w:t>“</w:t>
      </w:r>
      <w:r w:rsidR="00EF154E">
        <w:t>, der 1922 veröffentlicht wurde, vertritt Wittgenstein zunächst die These</w:t>
      </w:r>
      <w:r w:rsidR="00D82D6A">
        <w:t xml:space="preserve">, dass der Sprache vorrangig eine </w:t>
      </w:r>
      <w:r w:rsidR="00580860">
        <w:t xml:space="preserve">            </w:t>
      </w:r>
      <w:r w:rsidR="00580860" w:rsidRPr="008A0183">
        <w:rPr>
          <w:rStyle w:val="ekvlsungunterstrichenausgeblendet"/>
        </w:rPr>
        <w:t xml:space="preserve"> </w:t>
      </w:r>
      <w:r w:rsidR="00D82D6A" w:rsidRPr="008A0183">
        <w:rPr>
          <w:rStyle w:val="ekvlsungunterstrichenausgeblendet"/>
        </w:rPr>
        <w:t>deskriptive</w:t>
      </w:r>
      <w:r w:rsidR="00580860" w:rsidRPr="008A0183">
        <w:rPr>
          <w:rStyle w:val="ekvlsungunterstrichenausgeblendet"/>
        </w:rPr>
        <w:t xml:space="preserve">    </w:t>
      </w:r>
      <w:r w:rsidR="00D82D6A">
        <w:t xml:space="preserve"> Funktion zukomm</w:t>
      </w:r>
      <w:r w:rsidR="005C111D">
        <w:t>e</w:t>
      </w:r>
      <w:r w:rsidR="00D82D6A">
        <w:t xml:space="preserve">. Die Sprache ist für ihn lediglich ein Mittel, um die Wirklichkeit im eigenen Denken zu erfassen. </w:t>
      </w:r>
      <w:r w:rsidR="00580860" w:rsidRPr="008A0183">
        <w:rPr>
          <w:rStyle w:val="ekvlsungunterstrichenausgeblendet"/>
        </w:rPr>
        <w:t xml:space="preserve">       </w:t>
      </w:r>
      <w:r w:rsidR="00D82D6A" w:rsidRPr="008A0183">
        <w:rPr>
          <w:rStyle w:val="ekvlsungunterstrichenausgeblendet"/>
        </w:rPr>
        <w:t>Philosophische</w:t>
      </w:r>
      <w:r w:rsidR="00580860" w:rsidRPr="008A0183">
        <w:rPr>
          <w:rStyle w:val="ekvlsungunterstrichenausgeblendet"/>
        </w:rPr>
        <w:t xml:space="preserve">       </w:t>
      </w:r>
      <w:r w:rsidR="00D82D6A">
        <w:t xml:space="preserve"> Konzepte dagegen ließen sich durch Sprache nicht erklären. Lange Zeit glaubte Wittgenstein, dass er mit seinem Ansatz die Grundprobleme der Philosophie gelöst habe. Im Laufe seines Lebens änderte er seine Meinung allerdings</w:t>
      </w:r>
      <w:r w:rsidR="00A6768E">
        <w:t xml:space="preserve"> und verfasste sein zweites Hauptwerk </w:t>
      </w:r>
    </w:p>
    <w:p w14:paraId="69BA07BB" w14:textId="4B76AF34" w:rsidR="00580860" w:rsidRDefault="00A6768E" w:rsidP="00580860">
      <w:pPr>
        <w:pStyle w:val="ekvschreiblinie"/>
      </w:pPr>
      <w:proofErr w:type="gramStart"/>
      <w:r w:rsidRPr="00A6768E">
        <w:t>„</w:t>
      </w:r>
      <w:r w:rsidR="00580860" w:rsidRPr="008A0183">
        <w:rPr>
          <w:rStyle w:val="ekvlsungunterstrichenausgeblendet"/>
        </w:rPr>
        <w:t xml:space="preserve">  </w:t>
      </w:r>
      <w:proofErr w:type="gramEnd"/>
      <w:r w:rsidR="00580860" w:rsidRPr="008A0183">
        <w:rPr>
          <w:rStyle w:val="ekvlsungunterstrichenausgeblendet"/>
        </w:rPr>
        <w:t xml:space="preserve">              </w:t>
      </w:r>
      <w:r w:rsidRPr="008A0183">
        <w:rPr>
          <w:rStyle w:val="ekvlsungunterstrichenausgeblendet"/>
        </w:rPr>
        <w:t>Philosophische Untersuchungen</w:t>
      </w:r>
      <w:r w:rsidR="00580860" w:rsidRPr="008A0183">
        <w:rPr>
          <w:rStyle w:val="ekvlsungunterstrichenausgeblendet"/>
        </w:rPr>
        <w:t xml:space="preserve">                </w:t>
      </w:r>
      <w:r w:rsidRPr="00A6768E">
        <w:t>“</w:t>
      </w:r>
      <w:r>
        <w:t xml:space="preserve">, welches 1953 veröffentlicht wurde. In diesem vertritt er die These, dass Sprache als Mittel der praktischen Kommunikation fungiere. </w:t>
      </w:r>
      <w:r w:rsidR="00580860">
        <w:t xml:space="preserve">Der Sinn von Sprache ergebe sich aus ihrem </w:t>
      </w:r>
      <w:r w:rsidR="00580860" w:rsidRPr="008A0183">
        <w:rPr>
          <w:rStyle w:val="ekvlsungunterstrichenausgeblendet"/>
        </w:rPr>
        <w:t xml:space="preserve">      alltäglichen      </w:t>
      </w:r>
      <w:r w:rsidR="00580860">
        <w:t xml:space="preserve"> Gebrauch. </w:t>
      </w:r>
      <w:r w:rsidR="00580860" w:rsidRPr="00580860">
        <w:t>Ziel der Philosophie sei es, fehlerhafte Vorstellungen aufzudecken, die durch den Gebrauch der Sprache entst</w:t>
      </w:r>
      <w:r w:rsidR="005C111D">
        <w:t>ünden</w:t>
      </w:r>
      <w:r w:rsidR="00580860">
        <w:t xml:space="preserve">. </w:t>
      </w:r>
    </w:p>
    <w:bookmarkEnd w:id="1"/>
    <w:p w14:paraId="2797DB5E" w14:textId="77777777" w:rsidR="00E14827" w:rsidRDefault="00E14827" w:rsidP="00580860">
      <w:pPr>
        <w:pStyle w:val="ekvschreiblinie"/>
      </w:pPr>
    </w:p>
    <w:p w14:paraId="58C4F4A8" w14:textId="77777777" w:rsidR="00E14827" w:rsidRPr="00ED4CA8" w:rsidRDefault="00E14827" w:rsidP="00ED4CA8">
      <w:pPr>
        <w:rPr>
          <w:rStyle w:val="ekvfett"/>
        </w:rPr>
      </w:pPr>
      <w:r w:rsidRPr="00ED4CA8">
        <w:rPr>
          <w:rStyle w:val="ekvfett"/>
        </w:rPr>
        <w:t>Aufgaben</w:t>
      </w:r>
    </w:p>
    <w:p w14:paraId="16EABF8E" w14:textId="6669BC6D" w:rsidR="00E14827" w:rsidRPr="00E14827" w:rsidRDefault="00E14827" w:rsidP="00ED4CA8">
      <w:pPr>
        <w:pStyle w:val="ekvaufzhlung"/>
      </w:pPr>
      <w:r w:rsidRPr="00ED4CA8">
        <w:rPr>
          <w:rStyle w:val="ekvfett"/>
        </w:rPr>
        <w:t>1</w:t>
      </w:r>
      <w:r w:rsidR="00ED4CA8">
        <w:rPr>
          <w:rStyle w:val="ekvfett"/>
        </w:rPr>
        <w:tab/>
      </w:r>
      <w:r w:rsidRPr="00E14827">
        <w:t>Fülle den Lückentext aus.</w:t>
      </w:r>
    </w:p>
    <w:p w14:paraId="46C35AFD" w14:textId="4672747D" w:rsidR="00E14827" w:rsidRPr="00E14827" w:rsidRDefault="00E14827" w:rsidP="00ED4CA8">
      <w:pPr>
        <w:pStyle w:val="ekvaufzhlung"/>
      </w:pPr>
      <w:r w:rsidRPr="00ED4CA8">
        <w:rPr>
          <w:rStyle w:val="ekvfett"/>
        </w:rPr>
        <w:t>2</w:t>
      </w:r>
      <w:r w:rsidR="00ED4CA8">
        <w:rPr>
          <w:rStyle w:val="ekvfett"/>
        </w:rPr>
        <w:tab/>
      </w:r>
      <w:r w:rsidRPr="00E14827">
        <w:t>Wittgensteins Theorien beziehen sich auf die philosophischen Bereiche der Logik und Sprachphilosophie.</w:t>
      </w:r>
    </w:p>
    <w:p w14:paraId="4F8682C9" w14:textId="2FEBB6E4" w:rsidR="00E14827" w:rsidRPr="00E14827" w:rsidRDefault="00ED4CA8" w:rsidP="00ED4CA8">
      <w:pPr>
        <w:pStyle w:val="ekvaufzhlung"/>
      </w:pPr>
      <w:r>
        <w:tab/>
      </w:r>
      <w:r w:rsidR="00E14827" w:rsidRPr="00E14827">
        <w:t>a) Informiere dich über diese beiden Abteilungen und erläutere, womit sie sich beschäftigen.</w:t>
      </w:r>
    </w:p>
    <w:p w14:paraId="765441EB" w14:textId="00D411F6" w:rsidR="00E14827" w:rsidRPr="00E14827" w:rsidRDefault="00ED4CA8" w:rsidP="00ED4CA8">
      <w:pPr>
        <w:pStyle w:val="ekvaufzhlung"/>
      </w:pPr>
      <w:r>
        <w:tab/>
      </w:r>
      <w:r w:rsidR="00E14827" w:rsidRPr="00E14827">
        <w:t>b) Versuche zu erklären, warum Wittgenstein für beide Bereiche als besonders wichtig betrachtet wird.</w:t>
      </w:r>
    </w:p>
    <w:p w14:paraId="3409102E" w14:textId="70C88C8D" w:rsidR="00580860" w:rsidRDefault="00580860" w:rsidP="00E14827">
      <w:pPr>
        <w:pStyle w:val="ekvue3arial"/>
      </w:pPr>
    </w:p>
    <w:sectPr w:rsidR="00580860" w:rsidSect="00720D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A272" w14:textId="77777777" w:rsidR="00E25E04" w:rsidRDefault="00E25E04" w:rsidP="003C599D">
      <w:pPr>
        <w:spacing w:line="240" w:lineRule="auto"/>
      </w:pPr>
      <w:r>
        <w:separator/>
      </w:r>
    </w:p>
  </w:endnote>
  <w:endnote w:type="continuationSeparator" w:id="0">
    <w:p w14:paraId="639D4483" w14:textId="77777777" w:rsidR="00E25E04" w:rsidRDefault="00E25E0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8E4D" w14:textId="77777777" w:rsidR="00E14827" w:rsidRDefault="00E148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969F141" w14:textId="77777777" w:rsidTr="00503EE6">
      <w:trPr>
        <w:trHeight w:hRule="exact" w:val="680"/>
      </w:trPr>
      <w:tc>
        <w:tcPr>
          <w:tcW w:w="864" w:type="dxa"/>
          <w:noWrap/>
        </w:tcPr>
        <w:p w14:paraId="54FD9A0D" w14:textId="77777777" w:rsidR="002659C5" w:rsidRPr="00913892" w:rsidRDefault="002659C5" w:rsidP="005E4C30">
          <w:pPr>
            <w:pStyle w:val="ekvpaginabild"/>
            <w:jc w:val="both"/>
          </w:pPr>
          <w:r w:rsidRPr="00913892">
            <w:rPr>
              <w:noProof/>
              <w:lang w:eastAsia="de-DE"/>
            </w:rPr>
            <w:drawing>
              <wp:inline distT="0" distB="0" distL="0" distR="0" wp14:anchorId="369A025D" wp14:editId="4D597E9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00BBCD7"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81D3FE7" w14:textId="53E09688" w:rsidR="002659C5" w:rsidRPr="00913892" w:rsidRDefault="00E14827" w:rsidP="00947DC8">
          <w:pPr>
            <w:pStyle w:val="ekvquelle"/>
          </w:pPr>
          <w:r>
            <w:t>Autorin: Miriam Dalege</w:t>
          </w:r>
        </w:p>
      </w:tc>
      <w:tc>
        <w:tcPr>
          <w:tcW w:w="813" w:type="dxa"/>
        </w:tcPr>
        <w:p w14:paraId="05293885" w14:textId="77777777" w:rsidR="002659C5" w:rsidRPr="00913892" w:rsidRDefault="002659C5" w:rsidP="00913892">
          <w:pPr>
            <w:pStyle w:val="ekvpagina"/>
          </w:pPr>
        </w:p>
      </w:tc>
    </w:tr>
  </w:tbl>
  <w:p w14:paraId="1059012A"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9496" w14:textId="77777777" w:rsidR="00E14827" w:rsidRDefault="00E148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525D" w14:textId="77777777" w:rsidR="00E25E04" w:rsidRDefault="00E25E04" w:rsidP="003C599D">
      <w:pPr>
        <w:spacing w:line="240" w:lineRule="auto"/>
      </w:pPr>
      <w:r>
        <w:separator/>
      </w:r>
    </w:p>
  </w:footnote>
  <w:footnote w:type="continuationSeparator" w:id="0">
    <w:p w14:paraId="1266816E" w14:textId="77777777" w:rsidR="00E25E04" w:rsidRDefault="00E25E0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626" w14:textId="77777777" w:rsidR="00E14827" w:rsidRDefault="00E148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FCD7E32" w14:textId="77777777" w:rsidTr="00431E62">
      <w:trPr>
        <w:trHeight w:hRule="exact" w:val="510"/>
      </w:trPr>
      <w:tc>
        <w:tcPr>
          <w:tcW w:w="818" w:type="dxa"/>
          <w:tcBorders>
            <w:top w:val="nil"/>
            <w:bottom w:val="nil"/>
            <w:right w:val="nil"/>
          </w:tcBorders>
          <w:noWrap/>
          <w:vAlign w:val="bottom"/>
        </w:tcPr>
        <w:p w14:paraId="0BBED0CA" w14:textId="77777777" w:rsidR="00901B13" w:rsidRPr="00AE65F6" w:rsidRDefault="00901B13" w:rsidP="00901B13"/>
      </w:tc>
      <w:tc>
        <w:tcPr>
          <w:tcW w:w="3856" w:type="dxa"/>
          <w:tcBorders>
            <w:top w:val="nil"/>
            <w:left w:val="nil"/>
            <w:bottom w:val="nil"/>
            <w:right w:val="nil"/>
          </w:tcBorders>
          <w:noWrap/>
          <w:vAlign w:val="bottom"/>
        </w:tcPr>
        <w:p w14:paraId="325C914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43D231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878C15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B9EDE9C" w14:textId="77777777" w:rsidR="00901B13" w:rsidRPr="007C1230" w:rsidRDefault="00901B13" w:rsidP="00901B13">
          <w:pPr>
            <w:pStyle w:val="ekvkvnummer"/>
          </w:pPr>
        </w:p>
      </w:tc>
      <w:tc>
        <w:tcPr>
          <w:tcW w:w="883" w:type="dxa"/>
          <w:tcBorders>
            <w:top w:val="nil"/>
            <w:left w:val="nil"/>
            <w:bottom w:val="nil"/>
          </w:tcBorders>
          <w:noWrap/>
          <w:vAlign w:val="bottom"/>
        </w:tcPr>
        <w:p w14:paraId="08CEC7A3" w14:textId="77777777" w:rsidR="00901B13" w:rsidRPr="007636A0" w:rsidRDefault="00901B13" w:rsidP="00901B13">
          <w:pPr>
            <w:pStyle w:val="ekvkapitel"/>
            <w:rPr>
              <w:color w:val="FFFFFF" w:themeColor="background1"/>
            </w:rPr>
          </w:pPr>
        </w:p>
      </w:tc>
    </w:tr>
    <w:tr w:rsidR="00901B13" w:rsidRPr="00BF17F2" w14:paraId="0ED9E00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96F370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9EF2EB" w14:textId="77777777" w:rsidR="00901B13" w:rsidRPr="00BF17F2" w:rsidRDefault="00901B13" w:rsidP="00901B13">
          <w:pPr>
            <w:rPr>
              <w:color w:val="FFFFFF" w:themeColor="background1"/>
            </w:rPr>
          </w:pPr>
        </w:p>
      </w:tc>
    </w:tr>
  </w:tbl>
  <w:p w14:paraId="5773A73C"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A2FA" w14:textId="77777777" w:rsidR="00E14827" w:rsidRDefault="00E148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45EF"/>
    <w:multiLevelType w:val="hybridMultilevel"/>
    <w:tmpl w:val="CDB2D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38"/>
    <w:rsid w:val="000040E2"/>
    <w:rsid w:val="0001210D"/>
    <w:rsid w:val="00014D7E"/>
    <w:rsid w:val="0002009E"/>
    <w:rsid w:val="00020440"/>
    <w:rsid w:val="000307B4"/>
    <w:rsid w:val="00030EDB"/>
    <w:rsid w:val="000317DC"/>
    <w:rsid w:val="00035074"/>
    <w:rsid w:val="00037566"/>
    <w:rsid w:val="00043523"/>
    <w:rsid w:val="00046564"/>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1CDF"/>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2BEF"/>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5EA4"/>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0860"/>
    <w:rsid w:val="00583FC8"/>
    <w:rsid w:val="00584F88"/>
    <w:rsid w:val="005859EB"/>
    <w:rsid w:val="00587CF5"/>
    <w:rsid w:val="00587DF4"/>
    <w:rsid w:val="00597E2F"/>
    <w:rsid w:val="005A3FB2"/>
    <w:rsid w:val="005A6D94"/>
    <w:rsid w:val="005B6C9C"/>
    <w:rsid w:val="005C047C"/>
    <w:rsid w:val="005C0FBD"/>
    <w:rsid w:val="005C111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517"/>
    <w:rsid w:val="006201CB"/>
    <w:rsid w:val="00622F6B"/>
    <w:rsid w:val="00627765"/>
    <w:rsid w:val="00627A02"/>
    <w:rsid w:val="0064120B"/>
    <w:rsid w:val="00644BA9"/>
    <w:rsid w:val="0064692C"/>
    <w:rsid w:val="00653F68"/>
    <w:rsid w:val="00666D95"/>
    <w:rsid w:val="00670EBE"/>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0183"/>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3E33"/>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6768E"/>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1F0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651"/>
    <w:rsid w:val="00C45D3B"/>
    <w:rsid w:val="00C46BF4"/>
    <w:rsid w:val="00C504F8"/>
    <w:rsid w:val="00C52804"/>
    <w:rsid w:val="00C52A99"/>
    <w:rsid w:val="00C52AB7"/>
    <w:rsid w:val="00C61654"/>
    <w:rsid w:val="00C6534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06938"/>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2D6A"/>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4827"/>
    <w:rsid w:val="00E21473"/>
    <w:rsid w:val="00E22935"/>
    <w:rsid w:val="00E22C67"/>
    <w:rsid w:val="00E2466B"/>
    <w:rsid w:val="00E25E04"/>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4CA8"/>
    <w:rsid w:val="00EE049D"/>
    <w:rsid w:val="00EE2721"/>
    <w:rsid w:val="00EE2A0B"/>
    <w:rsid w:val="00EF154E"/>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358E"/>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36AC"/>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4ED4"/>
  <w15:chartTrackingRefBased/>
  <w15:docId w15:val="{EC5C5E10-B245-4612-B118-B8032405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B77A2-CB9E-4585-A95A-0B513F7C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2505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2022-04-11T07:11:00Z</dcterms:created>
  <dcterms:modified xsi:type="dcterms:W3CDTF">2022-04-11T07:11:00Z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