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99BD" w14:textId="3E181549" w:rsidR="00901B13" w:rsidRDefault="00361FC9" w:rsidP="00361FC9">
      <w:pPr>
        <w:pStyle w:val="ekvue2arial"/>
      </w:pPr>
      <w:r w:rsidRPr="00361FC9">
        <w:t>Die Todesstrafe in theoretischer Anwendung</w:t>
      </w:r>
      <w:r w:rsidR="00AD6780">
        <w:t xml:space="preserve"> – Ablauf </w:t>
      </w:r>
    </w:p>
    <w:p w14:paraId="69A8C8D4" w14:textId="77777777" w:rsidR="00361FC9" w:rsidRDefault="00361FC9" w:rsidP="000E200F"/>
    <w:p w14:paraId="598785CB" w14:textId="77777777" w:rsidR="00361FC9" w:rsidRDefault="00361FC9" w:rsidP="00361FC9">
      <w:pPr>
        <w:pStyle w:val="ekvue3arial"/>
      </w:pPr>
      <w:r>
        <w:t>Vorbereitung</w:t>
      </w:r>
    </w:p>
    <w:p w14:paraId="46E18615" w14:textId="77777777" w:rsidR="00361FC9" w:rsidRDefault="00361FC9" w:rsidP="00361FC9">
      <w:pPr>
        <w:pStyle w:val="ekvue3arial"/>
      </w:pPr>
    </w:p>
    <w:p w14:paraId="7913B146" w14:textId="5B9F353B" w:rsidR="00361FC9" w:rsidRDefault="00361FC9" w:rsidP="00361FC9">
      <w:pPr>
        <w:pStyle w:val="ekvaufzhlung"/>
      </w:pPr>
      <w:r>
        <w:t>1.</w:t>
      </w:r>
      <w:r>
        <w:tab/>
        <w:t xml:space="preserve">Materialien ausdrucken: Fallmaterial Troy Davis / Rollenkarten / Theoriekarten </w:t>
      </w:r>
    </w:p>
    <w:p w14:paraId="0384C6AA" w14:textId="77777777" w:rsidR="00361FC9" w:rsidRDefault="00361FC9" w:rsidP="00361FC9">
      <w:pPr>
        <w:pStyle w:val="ekvaufzhlung"/>
      </w:pPr>
      <w:r>
        <w:t>2.</w:t>
      </w:r>
      <w:r>
        <w:tab/>
        <w:t>Raum vorbereiten: Plätze für „Gericht“ (Richtertisch, Jury, Verteidigung, Staatsanwaltschaft) und Pressebereich markieren.</w:t>
      </w:r>
    </w:p>
    <w:p w14:paraId="17C62188" w14:textId="0587CB2C" w:rsidR="00361FC9" w:rsidRDefault="00361FC9" w:rsidP="00361FC9">
      <w:pPr>
        <w:pStyle w:val="ekvaufzhlung"/>
      </w:pPr>
      <w:r>
        <w:t>3.</w:t>
      </w:r>
      <w:r>
        <w:tab/>
        <w:t xml:space="preserve">Zeitplan erstellen: ca. 10 Min. Einführung, 20 Min. Rollenvorbereitung, 25–30 Min. Verhandlung, </w:t>
      </w:r>
      <w:r w:rsidR="00CE5773">
        <w:br/>
      </w:r>
      <w:r>
        <w:t>10 Min. Reflexion, 10 Min. Nachbesprechung mit Theorien.</w:t>
      </w:r>
    </w:p>
    <w:p w14:paraId="2701139B" w14:textId="77777777" w:rsidR="00361FC9" w:rsidRDefault="00361FC9" w:rsidP="00361FC9"/>
    <w:p w14:paraId="6F59F9CC" w14:textId="77777777" w:rsidR="00361FC9" w:rsidRDefault="00361FC9" w:rsidP="00361FC9">
      <w:pPr>
        <w:pStyle w:val="ekvue3arial"/>
      </w:pPr>
      <w:r>
        <w:t>Ablaufanweisung</w:t>
      </w:r>
    </w:p>
    <w:p w14:paraId="69D0F4CD" w14:textId="77777777" w:rsidR="00361FC9" w:rsidRDefault="00361FC9" w:rsidP="00361FC9"/>
    <w:p w14:paraId="104C59AE" w14:textId="60DDCE12" w:rsidR="00361FC9" w:rsidRPr="00CE5773" w:rsidRDefault="00361FC9" w:rsidP="00CE5773">
      <w:pPr>
        <w:pStyle w:val="ekvaufzhlung"/>
      </w:pPr>
      <w:r w:rsidRPr="00CE5773">
        <w:t>1.</w:t>
      </w:r>
      <w:r w:rsidR="00CE5773">
        <w:tab/>
      </w:r>
      <w:r w:rsidRPr="00CE5773">
        <w:t>Einstieg (10 Minuten)</w:t>
      </w:r>
    </w:p>
    <w:p w14:paraId="5C192FB1" w14:textId="77777777" w:rsidR="00361FC9" w:rsidRPr="00CE5773" w:rsidRDefault="00361FC9" w:rsidP="00CE5773">
      <w:pPr>
        <w:pStyle w:val="ekvaufzhlung1"/>
      </w:pPr>
      <w:r w:rsidRPr="00CE5773">
        <w:t>•</w:t>
      </w:r>
      <w:r w:rsidRPr="00CE5773">
        <w:tab/>
        <w:t>Kurze Einführung in den Fall Troy Davis: Text vorlesen oder Video zeigen.</w:t>
      </w:r>
    </w:p>
    <w:p w14:paraId="4D477E14" w14:textId="7F8F0BC3" w:rsidR="00361FC9" w:rsidRPr="00CE5773" w:rsidRDefault="00361FC9" w:rsidP="00CE5773">
      <w:pPr>
        <w:pStyle w:val="ekvaufzhlung1"/>
      </w:pPr>
      <w:r w:rsidRPr="00CE5773">
        <w:t>•</w:t>
      </w:r>
      <w:r w:rsidRPr="00CE5773">
        <w:tab/>
        <w:t xml:space="preserve">Schülerinnen und Schüler sammeln erste Eindrücke: Wer hat Recht? </w:t>
      </w:r>
      <w:r w:rsidR="000A5459" w:rsidRPr="00CE5773">
        <w:br/>
      </w:r>
      <w:r w:rsidRPr="00CE5773">
        <w:t>Welche ethischen Fragen tauchen auf?</w:t>
      </w:r>
    </w:p>
    <w:p w14:paraId="274848FF" w14:textId="77777777" w:rsidR="00746018" w:rsidRDefault="00746018" w:rsidP="00361FC9">
      <w:pPr>
        <w:pStyle w:val="ekvaufzhlung"/>
        <w:ind w:left="680"/>
      </w:pPr>
    </w:p>
    <w:p w14:paraId="4ABCAADE" w14:textId="63127AAA" w:rsidR="00361FC9" w:rsidRDefault="00361FC9" w:rsidP="00CE5773">
      <w:pPr>
        <w:pStyle w:val="ekvaufzhlung"/>
      </w:pPr>
      <w:r>
        <w:t>2.</w:t>
      </w:r>
      <w:r w:rsidR="00CE5773">
        <w:tab/>
      </w:r>
      <w:r w:rsidRPr="00CE5773">
        <w:t>Rollenvorbereitung</w:t>
      </w:r>
      <w:r>
        <w:t xml:space="preserve"> (20 Minuten)</w:t>
      </w:r>
    </w:p>
    <w:p w14:paraId="42F3EC2D" w14:textId="77777777" w:rsidR="00361FC9" w:rsidRDefault="00361FC9" w:rsidP="00CE5773">
      <w:pPr>
        <w:pStyle w:val="ekvaufzhlung1"/>
      </w:pPr>
      <w:r>
        <w:t>•</w:t>
      </w:r>
      <w:r>
        <w:tab/>
        <w:t>Schülerinnen und Schüler erhalten ihre Rollenkarte und bereiten sich vor:</w:t>
      </w:r>
    </w:p>
    <w:p w14:paraId="22B858E9" w14:textId="0EB2A08A" w:rsidR="00361FC9" w:rsidRDefault="00CE5773" w:rsidP="00CE5773">
      <w:pPr>
        <w:pStyle w:val="ekvaufzhlung2"/>
      </w:pPr>
      <w:r>
        <w:t>•</w:t>
      </w:r>
      <w:r>
        <w:tab/>
      </w:r>
      <w:r w:rsidR="00361FC9">
        <w:t>Anwälte (Staatsanwaltschaft/Verteidigung) bereiten Argumente vor.</w:t>
      </w:r>
    </w:p>
    <w:p w14:paraId="15379EF7" w14:textId="473DBE27" w:rsidR="00361FC9" w:rsidRDefault="00CE5773" w:rsidP="00CE5773">
      <w:pPr>
        <w:pStyle w:val="ekvaufzhlung2"/>
      </w:pPr>
      <w:r>
        <w:t>•</w:t>
      </w:r>
      <w:r>
        <w:tab/>
      </w:r>
      <w:r w:rsidR="00361FC9">
        <w:t>Jury liest den Fall durch, notiert Kriterien für die Urteilsfindung.</w:t>
      </w:r>
    </w:p>
    <w:p w14:paraId="11DA25AD" w14:textId="6BE9B7AC" w:rsidR="00361FC9" w:rsidRDefault="00CE5773" w:rsidP="00CE5773">
      <w:pPr>
        <w:pStyle w:val="ekvaufzhlung2"/>
      </w:pPr>
      <w:r>
        <w:t>•</w:t>
      </w:r>
      <w:r>
        <w:tab/>
      </w:r>
      <w:r w:rsidR="00361FC9">
        <w:t>Presse bereitet Beobachtungs- und Reflexionsfragen vor.</w:t>
      </w:r>
    </w:p>
    <w:p w14:paraId="78E41D4F" w14:textId="4ACD0E72" w:rsidR="00361FC9" w:rsidRDefault="00CE5773" w:rsidP="00CE5773">
      <w:pPr>
        <w:pStyle w:val="ekvaufzhlung2"/>
      </w:pPr>
      <w:r>
        <w:t>•</w:t>
      </w:r>
      <w:r>
        <w:tab/>
      </w:r>
      <w:r w:rsidR="00361FC9">
        <w:t>Richter/in liest die Rolle und plant Ablauf der Verhandlung.</w:t>
      </w:r>
    </w:p>
    <w:p w14:paraId="7AB8973C" w14:textId="77777777" w:rsidR="00746018" w:rsidRDefault="00746018" w:rsidP="00361FC9">
      <w:pPr>
        <w:pStyle w:val="ekvaufzhlung"/>
        <w:ind w:left="794"/>
      </w:pPr>
    </w:p>
    <w:p w14:paraId="62455A21" w14:textId="35121F96" w:rsidR="00361FC9" w:rsidRDefault="00361FC9" w:rsidP="00361FC9">
      <w:pPr>
        <w:pStyle w:val="ekvaufzhlung"/>
      </w:pPr>
      <w:r>
        <w:t>3.</w:t>
      </w:r>
      <w:r w:rsidR="00CE5773">
        <w:tab/>
      </w:r>
      <w:r>
        <w:t>Gerichtsverhandlung (25–30 Minuten)</w:t>
      </w:r>
    </w:p>
    <w:p w14:paraId="199F9CB3" w14:textId="77777777" w:rsidR="00361FC9" w:rsidRDefault="00361FC9" w:rsidP="00CE5773">
      <w:pPr>
        <w:pStyle w:val="ekvaufzhlung1"/>
      </w:pPr>
      <w:r>
        <w:t>•</w:t>
      </w:r>
      <w:r>
        <w:tab/>
        <w:t>Richter/in eröffnet die Sitzung.</w:t>
      </w:r>
    </w:p>
    <w:p w14:paraId="1B4B4A68" w14:textId="77777777" w:rsidR="00361FC9" w:rsidRDefault="00361FC9" w:rsidP="00CE5773">
      <w:pPr>
        <w:pStyle w:val="ekvaufzhlung1"/>
      </w:pPr>
      <w:r>
        <w:t>•</w:t>
      </w:r>
      <w:r>
        <w:tab/>
        <w:t>Staatsanwaltschaft und Verteidigung präsentieren ihre Argumente (5–7 Minuten je Seite).</w:t>
      </w:r>
    </w:p>
    <w:p w14:paraId="32724748" w14:textId="77777777" w:rsidR="00361FC9" w:rsidRDefault="00361FC9" w:rsidP="00CE5773">
      <w:pPr>
        <w:pStyle w:val="ekvaufzhlung1"/>
      </w:pPr>
      <w:r>
        <w:t>•</w:t>
      </w:r>
      <w:r>
        <w:tab/>
        <w:t>Jury diskutiert die Argumente intern (ca. 5 Minuten).</w:t>
      </w:r>
    </w:p>
    <w:p w14:paraId="65256447" w14:textId="77777777" w:rsidR="00361FC9" w:rsidRDefault="00361FC9" w:rsidP="00CE5773">
      <w:pPr>
        <w:pStyle w:val="ekvaufzhlung1"/>
      </w:pPr>
      <w:r>
        <w:t>•</w:t>
      </w:r>
      <w:r>
        <w:tab/>
        <w:t>Presse dokumentiert und stellt nach der Urteilsverkündung kritische Fragen.</w:t>
      </w:r>
    </w:p>
    <w:p w14:paraId="6684F0CD" w14:textId="77777777" w:rsidR="00361FC9" w:rsidRDefault="00361FC9" w:rsidP="00CE5773">
      <w:pPr>
        <w:pStyle w:val="ekvaufzhlung1"/>
      </w:pPr>
      <w:r>
        <w:t>•</w:t>
      </w:r>
      <w:r>
        <w:tab/>
        <w:t>Richter/in und Jury verkünden das Urteil.</w:t>
      </w:r>
    </w:p>
    <w:p w14:paraId="00BA6BAA" w14:textId="77777777" w:rsidR="00746018" w:rsidRDefault="00746018" w:rsidP="00361FC9">
      <w:pPr>
        <w:pStyle w:val="ekvaufzhlung"/>
        <w:ind w:left="680"/>
      </w:pPr>
    </w:p>
    <w:p w14:paraId="1516CFBA" w14:textId="5F4E4E89" w:rsidR="00361FC9" w:rsidRDefault="00361FC9" w:rsidP="00361FC9">
      <w:pPr>
        <w:pStyle w:val="ekvaufzhlung"/>
      </w:pPr>
      <w:r>
        <w:t>4.</w:t>
      </w:r>
      <w:r w:rsidR="00CE5773">
        <w:tab/>
      </w:r>
      <w:r>
        <w:t>Einbindung der Philosophen (15 Minuten)</w:t>
      </w:r>
    </w:p>
    <w:p w14:paraId="272BD196" w14:textId="77777777" w:rsidR="00361FC9" w:rsidRDefault="00361FC9" w:rsidP="00CE5773">
      <w:pPr>
        <w:pStyle w:val="ekvaufzhlung1"/>
      </w:pPr>
      <w:r>
        <w:t>•</w:t>
      </w:r>
      <w:r>
        <w:tab/>
        <w:t>Schülerinnen und Schüler mit Theoriekarten präsentieren kurz die Position ihres Philosophen.</w:t>
      </w:r>
    </w:p>
    <w:p w14:paraId="5714381D" w14:textId="51F00CB9" w:rsidR="00361FC9" w:rsidRDefault="00361FC9" w:rsidP="00CE5773">
      <w:pPr>
        <w:pStyle w:val="ekvaufzhlung1"/>
      </w:pPr>
      <w:r>
        <w:t>•</w:t>
      </w:r>
      <w:r>
        <w:tab/>
        <w:t>Diskussion: Welche Theorie unterstützt welches Urteil? Gibt es Konflikte zwischen Theorie un</w:t>
      </w:r>
      <w:r w:rsidR="000A5459">
        <w:t xml:space="preserve">d </w:t>
      </w:r>
      <w:r>
        <w:t>persönlicher Meinung?</w:t>
      </w:r>
    </w:p>
    <w:p w14:paraId="2C71FACA" w14:textId="77777777" w:rsidR="00746018" w:rsidRDefault="00746018" w:rsidP="00361FC9">
      <w:pPr>
        <w:pStyle w:val="ekvaufzhlung"/>
        <w:ind w:left="680"/>
      </w:pPr>
    </w:p>
    <w:p w14:paraId="3DB99B75" w14:textId="767BBB73" w:rsidR="00361FC9" w:rsidRDefault="00361FC9" w:rsidP="00361FC9">
      <w:pPr>
        <w:pStyle w:val="ekvaufzhlung"/>
      </w:pPr>
      <w:r>
        <w:t>5.</w:t>
      </w:r>
      <w:r w:rsidR="00CE5773">
        <w:tab/>
      </w:r>
      <w:r>
        <w:t>Reflexion (10 Minuten)</w:t>
      </w:r>
    </w:p>
    <w:p w14:paraId="148DB910" w14:textId="77777777" w:rsidR="00361FC9" w:rsidRDefault="00361FC9" w:rsidP="00CE5773">
      <w:pPr>
        <w:pStyle w:val="ekvaufzhlung1"/>
      </w:pPr>
      <w:r>
        <w:t>•</w:t>
      </w:r>
      <w:r>
        <w:tab/>
        <w:t>Schülerinnen und Schüler beantworten schriftlich oder mündlich Fragen wie:</w:t>
      </w:r>
    </w:p>
    <w:p w14:paraId="1C016153" w14:textId="0688C8BA" w:rsidR="00361FC9" w:rsidRDefault="00CE5773" w:rsidP="00CE5773">
      <w:pPr>
        <w:pStyle w:val="ekvaufzhlung2"/>
      </w:pPr>
      <w:r>
        <w:t>•</w:t>
      </w:r>
      <w:r>
        <w:tab/>
      </w:r>
      <w:r>
        <w:t xml:space="preserve"> </w:t>
      </w:r>
      <w:r w:rsidR="00361FC9">
        <w:t>„Wie hat sich meine Meinung im Verlauf der Stunde verändert?“</w:t>
      </w:r>
    </w:p>
    <w:p w14:paraId="7BFF5DB4" w14:textId="3166F2BD" w:rsidR="00361FC9" w:rsidRDefault="00CE5773" w:rsidP="00CE5773">
      <w:pPr>
        <w:pStyle w:val="ekvaufzhlung2"/>
      </w:pPr>
      <w:r>
        <w:t>•</w:t>
      </w:r>
      <w:r>
        <w:tab/>
      </w:r>
      <w:r>
        <w:t xml:space="preserve"> </w:t>
      </w:r>
      <w:r w:rsidR="00361FC9">
        <w:t>„Welche Argumente waren für mich besonders schwer zu entkräften?“</w:t>
      </w:r>
    </w:p>
    <w:p w14:paraId="6368ACB4" w14:textId="2FCA8D2A" w:rsidR="00361FC9" w:rsidRPr="000E200F" w:rsidRDefault="00CE5773" w:rsidP="00CE5773">
      <w:pPr>
        <w:pStyle w:val="ekvaufzhlung2"/>
      </w:pPr>
      <w:r>
        <w:t>•</w:t>
      </w:r>
      <w:r>
        <w:tab/>
      </w:r>
      <w:r>
        <w:t xml:space="preserve"> </w:t>
      </w:r>
      <w:r w:rsidR="00361FC9">
        <w:t>„Welche Perspektive eines Philosophen kann ich am besten nachvollziehen?“</w:t>
      </w:r>
    </w:p>
    <w:sectPr w:rsidR="00361FC9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3660F" w14:textId="77777777" w:rsidR="00361FC9" w:rsidRDefault="00361FC9" w:rsidP="003C599D">
      <w:pPr>
        <w:spacing w:line="240" w:lineRule="auto"/>
      </w:pPr>
      <w:r>
        <w:separator/>
      </w:r>
    </w:p>
  </w:endnote>
  <w:endnote w:type="continuationSeparator" w:id="0">
    <w:p w14:paraId="076BDA6E" w14:textId="77777777" w:rsidR="00361FC9" w:rsidRDefault="00361FC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7356CF8" w14:textId="77777777" w:rsidTr="00503EE6">
      <w:trPr>
        <w:trHeight w:hRule="exact" w:val="680"/>
      </w:trPr>
      <w:tc>
        <w:tcPr>
          <w:tcW w:w="864" w:type="dxa"/>
          <w:noWrap/>
        </w:tcPr>
        <w:p w14:paraId="5434D92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362F13E" wp14:editId="45CDBD33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A7A8E2C" w14:textId="282D8D2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CE5773">
            <w:t>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888588C" w14:textId="00D902E7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746018">
            <w:t>Stefan Lesser</w:t>
          </w:r>
        </w:p>
      </w:tc>
      <w:tc>
        <w:tcPr>
          <w:tcW w:w="813" w:type="dxa"/>
        </w:tcPr>
        <w:p w14:paraId="21B9FD41" w14:textId="77777777" w:rsidR="002659C5" w:rsidRPr="00913892" w:rsidRDefault="002659C5" w:rsidP="00913892">
          <w:pPr>
            <w:pStyle w:val="ekvpagina"/>
          </w:pPr>
        </w:p>
      </w:tc>
    </w:tr>
  </w:tbl>
  <w:p w14:paraId="57A2557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BA8C" w14:textId="77777777" w:rsidR="00361FC9" w:rsidRDefault="00361FC9" w:rsidP="003C599D">
      <w:pPr>
        <w:spacing w:line="240" w:lineRule="auto"/>
      </w:pPr>
      <w:r>
        <w:separator/>
      </w:r>
    </w:p>
  </w:footnote>
  <w:footnote w:type="continuationSeparator" w:id="0">
    <w:p w14:paraId="179DD0B5" w14:textId="77777777" w:rsidR="00361FC9" w:rsidRDefault="00361FC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5D31F6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27D20ED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56521E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D273C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B0A9F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75D25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A13D4B0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2DB065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F69A15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25F736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79016B9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D5B5F"/>
    <w:multiLevelType w:val="hybridMultilevel"/>
    <w:tmpl w:val="1D689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50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C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5459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8CF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D7FE6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1FC9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46018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780"/>
    <w:rsid w:val="00AE3D8A"/>
    <w:rsid w:val="00AE65F6"/>
    <w:rsid w:val="00AE6AA2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5773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6698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ED29E"/>
  <w15:chartTrackingRefBased/>
  <w15:docId w15:val="{DD073661-8C43-41D0-934E-B980AE61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2025-09-19T06:57:00Z</dcterms:created>
  <dcterms:modified xsi:type="dcterms:W3CDTF">2025-09-19T06:57:00Z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