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EF6B" w14:textId="77777777" w:rsidR="00AB089A" w:rsidRPr="00AB089A" w:rsidRDefault="00AB089A" w:rsidP="00AB089A">
      <w:pPr>
        <w:pStyle w:val="ekvue2arial"/>
      </w:pPr>
      <w:r w:rsidRPr="00AB089A">
        <w:t>Theoriekarten: Philosophen und Todesstrafe</w:t>
      </w:r>
    </w:p>
    <w:p w14:paraId="722EAA31" w14:textId="77777777" w:rsidR="00AB089A" w:rsidRPr="00AB089A" w:rsidRDefault="00AB089A" w:rsidP="00AB089A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ascii="Times New Roman" w:eastAsia="Calibri" w:hAnsi="Times New Roman" w:cs="Times New Roman"/>
          <w:sz w:val="20"/>
          <w:szCs w:val="18"/>
        </w:rPr>
      </w:pPr>
    </w:p>
    <w:tbl>
      <w:tblPr>
        <w:tblStyle w:val="Tabellenraster1"/>
        <w:tblW w:w="0" w:type="auto"/>
        <w:tblInd w:w="0" w:type="dxa"/>
        <w:shd w:val="clear" w:color="auto" w:fill="E9E6D7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C83389" w:rsidRPr="00AB089A" w14:paraId="2B5A02E4" w14:textId="77777777" w:rsidTr="00C83389">
        <w:tc>
          <w:tcPr>
            <w:tcW w:w="2268" w:type="dxa"/>
            <w:shd w:val="clear" w:color="auto" w:fill="E9E6D7"/>
            <w:hideMark/>
          </w:tcPr>
          <w:p w14:paraId="2C1BF7C6" w14:textId="0A43196C" w:rsidR="00AB089A" w:rsidRPr="007F3737" w:rsidRDefault="00AB089A" w:rsidP="007F3737">
            <w:pPr>
              <w:rPr>
                <w:rStyle w:val="ekvfett"/>
              </w:rPr>
            </w:pPr>
            <w:r w:rsidRPr="007F3737">
              <w:rPr>
                <w:rStyle w:val="ekvfett"/>
              </w:rPr>
              <w:t xml:space="preserve">Cesare </w:t>
            </w:r>
            <w:proofErr w:type="spellStart"/>
            <w:r w:rsidRPr="007F3737">
              <w:rPr>
                <w:rStyle w:val="ekvfett"/>
              </w:rPr>
              <w:t>Beccaria</w:t>
            </w:r>
            <w:proofErr w:type="spellEnd"/>
            <w:r w:rsidRPr="007F3737">
              <w:rPr>
                <w:rStyle w:val="ekvfett"/>
              </w:rPr>
              <w:t xml:space="preserve"> </w:t>
            </w:r>
            <w:r w:rsidR="007F3737" w:rsidRPr="007F3737">
              <w:rPr>
                <w:rStyle w:val="ekvfett"/>
              </w:rPr>
              <w:br/>
            </w:r>
            <w:r w:rsidRPr="007F3737">
              <w:rPr>
                <w:rStyle w:val="ekvfett"/>
              </w:rPr>
              <w:t>(1738–1794)</w:t>
            </w:r>
          </w:p>
        </w:tc>
        <w:tc>
          <w:tcPr>
            <w:tcW w:w="6803" w:type="dxa"/>
            <w:shd w:val="clear" w:color="auto" w:fill="E9E6D7"/>
            <w:hideMark/>
          </w:tcPr>
          <w:p w14:paraId="47FD2605" w14:textId="17080EB5" w:rsidR="00AB089A" w:rsidRPr="00AB089A" w:rsidRDefault="00AB089A" w:rsidP="007F3737">
            <w:r w:rsidRPr="00AB089A">
              <w:t xml:space="preserve">Cesare </w:t>
            </w:r>
            <w:proofErr w:type="spellStart"/>
            <w:r w:rsidRPr="00AB089A">
              <w:t>Beccaria</w:t>
            </w:r>
            <w:proofErr w:type="spellEnd"/>
            <w:r w:rsidRPr="00AB089A">
              <w:t xml:space="preserve"> war ein italienischer Jurist und Philosoph der Aufklärung, dessen Werk </w:t>
            </w:r>
            <w:proofErr w:type="spellStart"/>
            <w:r w:rsidRPr="00AB089A">
              <w:t>Dei</w:t>
            </w:r>
            <w:proofErr w:type="spellEnd"/>
            <w:r w:rsidRPr="00AB089A">
              <w:t xml:space="preserve"> </w:t>
            </w:r>
            <w:proofErr w:type="spellStart"/>
            <w:r w:rsidRPr="00AB089A">
              <w:t>delitti</w:t>
            </w:r>
            <w:proofErr w:type="spellEnd"/>
            <w:r w:rsidRPr="00AB089A">
              <w:t xml:space="preserve"> e delle </w:t>
            </w:r>
            <w:proofErr w:type="spellStart"/>
            <w:r w:rsidRPr="00AB089A">
              <w:t>pene</w:t>
            </w:r>
            <w:proofErr w:type="spellEnd"/>
            <w:r w:rsidRPr="00AB089A">
              <w:t xml:space="preserve"> (1764) die moderne Strafrechtskritik begründete. </w:t>
            </w:r>
          </w:p>
          <w:p w14:paraId="55A86568" w14:textId="77777777" w:rsidR="00AB089A" w:rsidRPr="00AB089A" w:rsidRDefault="00AB089A" w:rsidP="007F3737">
            <w:proofErr w:type="spellStart"/>
            <w:r w:rsidRPr="00AB089A">
              <w:t>Beccaria</w:t>
            </w:r>
            <w:proofErr w:type="spellEnd"/>
            <w:r w:rsidRPr="00AB089A">
              <w:t xml:space="preserve"> lehnte die Todesstrafe entschieden ab, weil sie in seinen Augen weder moralisch noch praktisch gerechtfertigt sei. Er sah Strafe primär als Instrument der Prävention: Sie soll zukünftige Verbrechen verhindern, nicht Vergeltung üben. </w:t>
            </w:r>
          </w:p>
          <w:p w14:paraId="38472D95" w14:textId="77777777" w:rsidR="00AB089A" w:rsidRPr="00AB089A" w:rsidRDefault="00AB089A" w:rsidP="007F3737">
            <w:r w:rsidRPr="00AB089A">
              <w:t xml:space="preserve">Ein zentrales Argument ist die Unumkehrbarkeit der Todesstrafe – ein Fehlurteil kann nicht korrigiert werden und macht das gesamte Strafsystem moralisch fragwürdig. </w:t>
            </w:r>
          </w:p>
          <w:p w14:paraId="1DAC8F10" w14:textId="77777777" w:rsidR="00AB089A" w:rsidRPr="00AB089A" w:rsidRDefault="00AB089A" w:rsidP="007F3737">
            <w:proofErr w:type="spellStart"/>
            <w:r w:rsidRPr="00AB089A">
              <w:t>Beccaria</w:t>
            </w:r>
            <w:proofErr w:type="spellEnd"/>
            <w:r w:rsidRPr="00AB089A">
              <w:t xml:space="preserve"> betont, dass </w:t>
            </w:r>
            <w:proofErr w:type="gramStart"/>
            <w:r w:rsidRPr="00AB089A">
              <w:t>Strafen verhältnismäßig</w:t>
            </w:r>
            <w:proofErr w:type="gramEnd"/>
            <w:r w:rsidRPr="00AB089A">
              <w:t xml:space="preserve"> und zeitnah sein müssen; sie sollen das Unrecht des Verhaltens deutlich machen, ohne das Leben zu zerstören. </w:t>
            </w:r>
          </w:p>
          <w:p w14:paraId="7FF91BCB" w14:textId="77777777" w:rsidR="00AB089A" w:rsidRPr="00AB089A" w:rsidRDefault="00AB089A" w:rsidP="007F3737">
            <w:r w:rsidRPr="00AB089A">
              <w:t xml:space="preserve">Die Todesstrafe hält er für ineffektiv, da sie weder nachweislich abschreckt noch die Gesellschaft tatsächlich schützt. </w:t>
            </w:r>
          </w:p>
          <w:p w14:paraId="12AC49CA" w14:textId="77777777" w:rsidR="00AB089A" w:rsidRPr="00AB089A" w:rsidRDefault="00AB089A" w:rsidP="007F3737">
            <w:r w:rsidRPr="00AB089A">
              <w:t xml:space="preserve">In </w:t>
            </w:r>
            <w:proofErr w:type="spellStart"/>
            <w:r w:rsidRPr="00AB089A">
              <w:t>Beccarias</w:t>
            </w:r>
            <w:proofErr w:type="spellEnd"/>
            <w:r w:rsidRPr="00AB089A">
              <w:t xml:space="preserve"> Denken verbindet sich die Forderung nach humaner Behandlung von Straftätern mit rationaler Nutzenabwägung: Strafen sollen das allgemeine Wohl maximieren, unnötiges Leid vermeiden und die Bürger in einem geregelten Rechtsstaat schützen. </w:t>
            </w:r>
          </w:p>
          <w:p w14:paraId="551B31D1" w14:textId="1FD0AD29" w:rsidR="00AB089A" w:rsidRDefault="00AB089A" w:rsidP="007F3737">
            <w:r w:rsidRPr="00AB089A">
              <w:t xml:space="preserve">Auch die Idee der öffentlichen Einsicht in das Rechtssystem ist zentral: </w:t>
            </w:r>
            <w:r w:rsidR="007F3737">
              <w:br/>
            </w:r>
            <w:r w:rsidRPr="00AB089A">
              <w:t>Strafe soll moralisch verständlich und nachvollziehbar sein, damit sie soziale Normen festigt, ohne Brutalität zu legitimieren.</w:t>
            </w:r>
          </w:p>
          <w:p w14:paraId="7697746A" w14:textId="77777777" w:rsidR="00AB089A" w:rsidRPr="00AB089A" w:rsidRDefault="00AB089A" w:rsidP="007F3737"/>
        </w:tc>
      </w:tr>
    </w:tbl>
    <w:p w14:paraId="782AD148" w14:textId="77777777" w:rsidR="0043428E" w:rsidRDefault="0043428E"/>
    <w:p w14:paraId="0444F6B5" w14:textId="77777777" w:rsidR="000C132F" w:rsidRDefault="000C132F"/>
    <w:p w14:paraId="17D77216" w14:textId="77777777" w:rsidR="007F3737" w:rsidRDefault="007F3737"/>
    <w:tbl>
      <w:tblPr>
        <w:tblStyle w:val="Tabellenraster1"/>
        <w:tblW w:w="0" w:type="auto"/>
        <w:tblInd w:w="0" w:type="dxa"/>
        <w:shd w:val="clear" w:color="auto" w:fill="DEEAF6" w:themeFill="accent1" w:themeFillTint="33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AB089A" w:rsidRPr="00AB089A" w14:paraId="11857F20" w14:textId="77777777" w:rsidTr="00C83389">
        <w:tc>
          <w:tcPr>
            <w:tcW w:w="2268" w:type="dxa"/>
            <w:shd w:val="clear" w:color="auto" w:fill="DEEAF6" w:themeFill="accent1" w:themeFillTint="33"/>
            <w:hideMark/>
          </w:tcPr>
          <w:p w14:paraId="372DAC63" w14:textId="4B32EEB8" w:rsidR="00AB089A" w:rsidRPr="007F3737" w:rsidRDefault="00AB089A" w:rsidP="007F3737">
            <w:pPr>
              <w:rPr>
                <w:rStyle w:val="ekvfett"/>
              </w:rPr>
            </w:pPr>
            <w:r w:rsidRPr="007F3737">
              <w:rPr>
                <w:rStyle w:val="ekvfett"/>
              </w:rPr>
              <w:t xml:space="preserve">Immanuel Kant </w:t>
            </w:r>
            <w:r w:rsidR="007F3737" w:rsidRPr="007F3737">
              <w:rPr>
                <w:rStyle w:val="ekvfett"/>
              </w:rPr>
              <w:br/>
            </w:r>
            <w:r w:rsidRPr="007F3737">
              <w:rPr>
                <w:rStyle w:val="ekvfett"/>
              </w:rPr>
              <w:t>(1724–1804)</w:t>
            </w:r>
          </w:p>
        </w:tc>
        <w:tc>
          <w:tcPr>
            <w:tcW w:w="6803" w:type="dxa"/>
            <w:shd w:val="clear" w:color="auto" w:fill="DEEAF6" w:themeFill="accent1" w:themeFillTint="33"/>
            <w:hideMark/>
          </w:tcPr>
          <w:p w14:paraId="6E3B1759" w14:textId="5B2C523E" w:rsidR="00AB089A" w:rsidRPr="00AB089A" w:rsidRDefault="00AB089A" w:rsidP="007F3737">
            <w:r w:rsidRPr="00AB089A">
              <w:t xml:space="preserve">Immanuel Kant, einer der einflussreichsten Philosophen der Aufklärung, entwickelt in der Metaphysik der Sitten eine Pflichtethik, die absolute moralische Prinzipien über die Folgen einer Handlung stellt. </w:t>
            </w:r>
          </w:p>
          <w:p w14:paraId="6BFB92D0" w14:textId="77777777" w:rsidR="00AB089A" w:rsidRPr="00AB089A" w:rsidRDefault="00AB089A" w:rsidP="007F3737">
            <w:r w:rsidRPr="00AB089A">
              <w:t xml:space="preserve">Für Kant ist die Todesstrafe bei Mord nicht nur zulässig, sondern moralisch geboten, weil sie die Gerechtigkeit wiederherstellt. </w:t>
            </w:r>
          </w:p>
          <w:p w14:paraId="2D3C1B8B" w14:textId="77777777" w:rsidR="00AB089A" w:rsidRPr="00AB089A" w:rsidRDefault="00AB089A" w:rsidP="007F3737">
            <w:r w:rsidRPr="00AB089A">
              <w:t xml:space="preserve">Er formuliert: „Wer Mord begeht, muss sterben; so wird die Gerechtigkeit wiederhergestellt.“ </w:t>
            </w:r>
          </w:p>
          <w:p w14:paraId="75F95F36" w14:textId="77777777" w:rsidR="00AB089A" w:rsidRPr="00AB089A" w:rsidRDefault="00AB089A" w:rsidP="007F3737">
            <w:r w:rsidRPr="00AB089A">
              <w:t xml:space="preserve">Strafe ist bei Kant kein Mittel zum Zweck, wie Abschreckung oder Prävention, sondern Ausdruck des universellen Rechtsprinzips. </w:t>
            </w:r>
          </w:p>
          <w:p w14:paraId="7AC691E6" w14:textId="77777777" w:rsidR="00AB089A" w:rsidRPr="00AB089A" w:rsidRDefault="00AB089A" w:rsidP="007F3737">
            <w:r w:rsidRPr="00AB089A">
              <w:t xml:space="preserve">Moralisches Handeln bedeutet, dass Täter gemäß der Schwere ihrer Tat Verantwortung übernehmen müssen. </w:t>
            </w:r>
          </w:p>
          <w:p w14:paraId="2ED82B5A" w14:textId="7E5B2A82" w:rsidR="00AB089A" w:rsidRPr="00AB089A" w:rsidRDefault="00AB089A" w:rsidP="007F3737">
            <w:r w:rsidRPr="00AB089A">
              <w:t xml:space="preserve">Kant unterscheidet klar zwischen dem moralischen Gesetz und praktischen Konsequenzen: </w:t>
            </w:r>
            <w:proofErr w:type="gramStart"/>
            <w:r w:rsidR="007F3737" w:rsidRPr="00AB089A">
              <w:t>Selbst</w:t>
            </w:r>
            <w:proofErr w:type="gramEnd"/>
            <w:r w:rsidR="007F3737">
              <w:t xml:space="preserve"> </w:t>
            </w:r>
            <w:r w:rsidRPr="00AB089A">
              <w:t xml:space="preserve">wenn Fehlurteile möglich sind, besteht die Pflicht, Gerechtigkeit walten zu lassen. </w:t>
            </w:r>
          </w:p>
          <w:p w14:paraId="3603ECD8" w14:textId="77777777" w:rsidR="00AB089A" w:rsidRPr="00AB089A" w:rsidRDefault="00AB089A" w:rsidP="007F3737">
            <w:r w:rsidRPr="00AB089A">
              <w:t xml:space="preserve">Die Todesstrafe ist somit für Kant eine notwendige Folge der Handlung – nicht aus Rachsucht, sondern aus Respekt vor dem Prinzip der Gerechtigkeit. </w:t>
            </w:r>
          </w:p>
          <w:p w14:paraId="676261E9" w14:textId="7BFCE24E" w:rsidR="00AB089A" w:rsidRDefault="00AB089A" w:rsidP="007F3737">
            <w:r w:rsidRPr="00AB089A">
              <w:t>Sein Ansatz betont die innere Logik von Recht und Moral, die Verantwortung des Individuums und die Aufrechterhaltung einer moralischen Ordnung, die unabhängig von utilitaristischen Erwägungen funktioniert.</w:t>
            </w:r>
          </w:p>
          <w:p w14:paraId="4FA1E971" w14:textId="77777777" w:rsidR="00AB089A" w:rsidRPr="00AB089A" w:rsidRDefault="00AB089A" w:rsidP="007F3737"/>
        </w:tc>
      </w:tr>
    </w:tbl>
    <w:p w14:paraId="2300FE5C" w14:textId="77777777" w:rsidR="0043428E" w:rsidRDefault="0043428E"/>
    <w:p w14:paraId="7B7FFD9C" w14:textId="77777777" w:rsidR="007F3737" w:rsidRDefault="007F3737"/>
    <w:p w14:paraId="2503F34D" w14:textId="77777777" w:rsidR="007F3737" w:rsidRDefault="007F3737"/>
    <w:tbl>
      <w:tblPr>
        <w:tblStyle w:val="Tabellenraster1"/>
        <w:tblW w:w="0" w:type="auto"/>
        <w:tblInd w:w="0" w:type="dxa"/>
        <w:shd w:val="clear" w:color="auto" w:fill="F4E0E0"/>
        <w:tblCellMar>
          <w:top w:w="142" w:type="dxa"/>
          <w:bottom w:w="14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AB089A" w:rsidRPr="00AB089A" w14:paraId="14CA125A" w14:textId="77777777" w:rsidTr="00C83389">
        <w:tc>
          <w:tcPr>
            <w:tcW w:w="2268" w:type="dxa"/>
            <w:shd w:val="clear" w:color="auto" w:fill="F4E0E0"/>
            <w:hideMark/>
          </w:tcPr>
          <w:p w14:paraId="46EEA9E6" w14:textId="77777777" w:rsidR="007F3737" w:rsidRPr="007F3737" w:rsidRDefault="00AB089A" w:rsidP="007F3737">
            <w:pPr>
              <w:rPr>
                <w:rStyle w:val="ekvfett"/>
              </w:rPr>
            </w:pPr>
            <w:r w:rsidRPr="007F3737">
              <w:rPr>
                <w:rStyle w:val="ekvfett"/>
              </w:rPr>
              <w:lastRenderedPageBreak/>
              <w:t xml:space="preserve">John Stuart Mill </w:t>
            </w:r>
          </w:p>
          <w:p w14:paraId="496AB7C1" w14:textId="2F82C5E5" w:rsidR="00AB089A" w:rsidRPr="007F3737" w:rsidRDefault="00AB089A" w:rsidP="007F3737">
            <w:pPr>
              <w:rPr>
                <w:rStyle w:val="ekvfett"/>
              </w:rPr>
            </w:pPr>
            <w:r w:rsidRPr="007F3737">
              <w:rPr>
                <w:rStyle w:val="ekvfett"/>
              </w:rPr>
              <w:t>(1806–1873)</w:t>
            </w:r>
          </w:p>
        </w:tc>
        <w:tc>
          <w:tcPr>
            <w:tcW w:w="6803" w:type="dxa"/>
            <w:shd w:val="clear" w:color="auto" w:fill="F4E0E0"/>
            <w:hideMark/>
          </w:tcPr>
          <w:p w14:paraId="1E184BBF" w14:textId="0A7AB078" w:rsidR="00AB089A" w:rsidRPr="00AB089A" w:rsidRDefault="00AB089A" w:rsidP="007F3737">
            <w:r w:rsidRPr="00AB089A">
              <w:t xml:space="preserve">John Stuart Mill, ein zentraler Vertreter des klassischen Utilitarismus, betrachtet moralische Entscheidungen aus der Perspektive der Folgen für </w:t>
            </w:r>
            <w:r w:rsidR="007F3737">
              <w:br/>
            </w:r>
            <w:r w:rsidRPr="00AB089A">
              <w:t xml:space="preserve">das größtmögliche Wohl. </w:t>
            </w:r>
          </w:p>
          <w:p w14:paraId="251E8FB1" w14:textId="77777777" w:rsidR="00AB089A" w:rsidRPr="00AB089A" w:rsidRDefault="00AB089A" w:rsidP="007F3737">
            <w:r w:rsidRPr="00AB089A">
              <w:t xml:space="preserve">In seinem Werk </w:t>
            </w:r>
            <w:proofErr w:type="spellStart"/>
            <w:r w:rsidRPr="00AB089A">
              <w:t>Utilitarianism</w:t>
            </w:r>
            <w:proofErr w:type="spellEnd"/>
            <w:r w:rsidRPr="00AB089A">
              <w:t xml:space="preserve"> (1861) argumentiert Mill, dass Strafe vor allem der Prävention von Leid und der Maximierung des gesellschaftlichen Nutzens dienen soll. </w:t>
            </w:r>
          </w:p>
          <w:p w14:paraId="207B40B6" w14:textId="77777777" w:rsidR="00AB089A" w:rsidRPr="00AB089A" w:rsidRDefault="00AB089A" w:rsidP="007F3737">
            <w:r w:rsidRPr="00AB089A">
              <w:t xml:space="preserve">Unter bestimmten Umständen könnte die Todesstrafe nach utilitaristischen Kriterien gerechtfertigt sein, insbesondere wenn sie weniger Leid verursacht als alternative Strafen, etwa lebenslange Haft, und gleichzeitig eine abschreckende Wirkung entfaltet. </w:t>
            </w:r>
          </w:p>
          <w:p w14:paraId="336E3D91" w14:textId="77777777" w:rsidR="00AB089A" w:rsidRPr="00AB089A" w:rsidRDefault="00AB089A" w:rsidP="007F3737">
            <w:r w:rsidRPr="00AB089A">
              <w:t xml:space="preserve">Mill betont jedoch, dass Strafe niemals unnötig grausam sein darf und dass stets das Verhältnis zwischen individuellen Rechten, gesellschaftlichen Folgen und Nutzen abgewogen werden muss. </w:t>
            </w:r>
          </w:p>
          <w:p w14:paraId="273CA70A" w14:textId="77777777" w:rsidR="00AB089A" w:rsidRPr="00AB089A" w:rsidRDefault="00AB089A" w:rsidP="007F3737">
            <w:r w:rsidRPr="00AB089A">
              <w:t xml:space="preserve">Anders als bei Kant steht hier nicht das Prinzip der Gerechtigkeit absolut im Vordergrund, sondern die Konsequenzen einer Handlung. </w:t>
            </w:r>
          </w:p>
          <w:p w14:paraId="5CE0E96C" w14:textId="77777777" w:rsidR="00AB089A" w:rsidRPr="00AB089A" w:rsidRDefault="00AB089A" w:rsidP="007F3737">
            <w:r w:rsidRPr="00AB089A">
              <w:t xml:space="preserve">Mill fordert, dass jede Strafe rational und zweckorientiert gestaltet wird, um das Leid möglichst zu minimieren und den sozialen Zusammenhalt zu fördern. </w:t>
            </w:r>
          </w:p>
          <w:p w14:paraId="18D3DE88" w14:textId="2399A4F8" w:rsidR="00AB089A" w:rsidRDefault="00AB089A" w:rsidP="007F3737">
            <w:r w:rsidRPr="00AB089A">
              <w:t xml:space="preserve">Seine Theorie eröffnet die Möglichkeit, ethische Dilemmata differenziert zu betrachten, indem sie individuelle Gerechtigkeit, gesellschaftlichen Nutzen und langfristige Folgen in Beziehung setzt und eine pragmatische, ergebnisorientierte Ethik begründet. </w:t>
            </w:r>
          </w:p>
          <w:p w14:paraId="3B67B651" w14:textId="77777777" w:rsidR="00AB089A" w:rsidRPr="00AB089A" w:rsidRDefault="00AB089A" w:rsidP="007F3737"/>
        </w:tc>
      </w:tr>
    </w:tbl>
    <w:p w14:paraId="272EC0C4" w14:textId="77777777" w:rsidR="00AB089A" w:rsidRPr="00AB089A" w:rsidRDefault="00AB089A" w:rsidP="00AB089A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eastAsia="Calibri" w:cs="Times New Roman"/>
          <w:b/>
          <w:sz w:val="20"/>
          <w:szCs w:val="18"/>
          <w:lang w:eastAsia="de-DE"/>
        </w:rPr>
      </w:pPr>
    </w:p>
    <w:p w14:paraId="47A5F047" w14:textId="77777777" w:rsidR="00AB089A" w:rsidRPr="00AB089A" w:rsidRDefault="00AB089A" w:rsidP="00AB089A">
      <w:pPr>
        <w:tabs>
          <w:tab w:val="clear" w:pos="340"/>
          <w:tab w:val="clear" w:pos="595"/>
          <w:tab w:val="clear" w:pos="851"/>
        </w:tabs>
        <w:spacing w:after="200" w:line="276" w:lineRule="auto"/>
        <w:rPr>
          <w:rFonts w:ascii="Times New Roman" w:eastAsia="Calibri" w:hAnsi="Times New Roman" w:cs="Times New Roman"/>
          <w:b/>
          <w:sz w:val="20"/>
          <w:szCs w:val="18"/>
        </w:rPr>
      </w:pPr>
    </w:p>
    <w:p w14:paraId="2E75781D" w14:textId="77777777" w:rsidR="00901B13" w:rsidRPr="000E200F" w:rsidRDefault="00901B13" w:rsidP="000E200F"/>
    <w:sectPr w:rsidR="00901B13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D7F2" w14:textId="77777777" w:rsidR="00AB089A" w:rsidRDefault="00AB089A" w:rsidP="003C599D">
      <w:pPr>
        <w:spacing w:line="240" w:lineRule="auto"/>
      </w:pPr>
      <w:r>
        <w:separator/>
      </w:r>
    </w:p>
  </w:endnote>
  <w:endnote w:type="continuationSeparator" w:id="0">
    <w:p w14:paraId="63C40869" w14:textId="77777777" w:rsidR="00AB089A" w:rsidRDefault="00AB089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479598E" w14:textId="77777777" w:rsidTr="00503EE6">
      <w:trPr>
        <w:trHeight w:hRule="exact" w:val="680"/>
      </w:trPr>
      <w:tc>
        <w:tcPr>
          <w:tcW w:w="864" w:type="dxa"/>
          <w:noWrap/>
        </w:tcPr>
        <w:p w14:paraId="72C8C1A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A56427B" wp14:editId="4A4123B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AB99549" w14:textId="56B0E10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C83389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6A3409" w14:textId="4C69CE38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AB089A">
            <w:t>Stefan Lesser</w:t>
          </w:r>
        </w:p>
      </w:tc>
      <w:tc>
        <w:tcPr>
          <w:tcW w:w="813" w:type="dxa"/>
        </w:tcPr>
        <w:p w14:paraId="485AF517" w14:textId="77777777" w:rsidR="002659C5" w:rsidRPr="00913892" w:rsidRDefault="002659C5" w:rsidP="00913892">
          <w:pPr>
            <w:pStyle w:val="ekvpagina"/>
          </w:pPr>
        </w:p>
      </w:tc>
    </w:tr>
  </w:tbl>
  <w:p w14:paraId="1E6D938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9363" w14:textId="77777777" w:rsidR="00AB089A" w:rsidRDefault="00AB089A" w:rsidP="003C599D">
      <w:pPr>
        <w:spacing w:line="240" w:lineRule="auto"/>
      </w:pPr>
      <w:r>
        <w:separator/>
      </w:r>
    </w:p>
  </w:footnote>
  <w:footnote w:type="continuationSeparator" w:id="0">
    <w:p w14:paraId="23B63222" w14:textId="77777777" w:rsidR="00AB089A" w:rsidRDefault="00AB089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83746F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9821E59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D319E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096213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A841FF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CAB4A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0820CF2" w14:textId="77777777" w:rsidR="00901B13" w:rsidRPr="00AB089A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5211370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BA9CA79" w14:textId="77777777" w:rsidR="00901B13" w:rsidRPr="00AB089A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BC93C0A" w14:textId="77777777" w:rsidR="00901B13" w:rsidRPr="00AB089A" w:rsidRDefault="00901B13" w:rsidP="00901B13">
          <w:pPr>
            <w:rPr>
              <w:color w:val="FFFFFF"/>
            </w:rPr>
          </w:pPr>
        </w:p>
      </w:tc>
    </w:tr>
  </w:tbl>
  <w:p w14:paraId="7979764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9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132F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8CF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D7FE6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428E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67C0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3737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89A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E6AA2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3389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CB507"/>
  <w15:chartTrackingRefBased/>
  <w15:docId w15:val="{FC7ECF2D-8BC7-4597-A490-0EDA81B1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table" w:customStyle="1" w:styleId="Tabellenraster1">
    <w:name w:val="Tabellenraster1"/>
    <w:basedOn w:val="NormaleTabelle"/>
    <w:next w:val="Tabellenraster"/>
    <w:uiPriority w:val="59"/>
    <w:rsid w:val="00AB08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2025-09-19T06:53:00Z</dcterms:created>
  <dcterms:modified xsi:type="dcterms:W3CDTF">2025-09-19T06:53:00Z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