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14:paraId="540EB6A4" w14:textId="6D759258" w:rsidR="00B02664" w:rsidRDefault="00B02664" w:rsidP="00B02664">
      <w:pPr>
        <w:pStyle w:val="ekvue2arial"/>
      </w:pPr>
      <w:r>
        <w:t>Der Fall Troy Davis – Ein Mensch, ein Urteil, ein Dilemma</w:t>
      </w:r>
    </w:p>
    <w:p w14:paraId="497ED14B" w14:textId="5F1D183C" w:rsidR="00B02664" w:rsidRDefault="00B02664" w:rsidP="00B02664">
      <w:r>
        <w:rPr>
          <w:noProof/>
        </w:rPr>
        <w:drawing>
          <wp:anchor distT="0" distB="0" distL="114300" distR="114300" simplePos="0" relativeHeight="251659264" behindDoc="0" locked="0" layoutInCell="1" allowOverlap="1" wp14:anchorId="7FF416C9" wp14:editId="55291557">
            <wp:simplePos x="0" y="0"/>
            <wp:positionH relativeFrom="column">
              <wp:posOffset>85725</wp:posOffset>
            </wp:positionH>
            <wp:positionV relativeFrom="paragraph">
              <wp:posOffset>107950</wp:posOffset>
            </wp:positionV>
            <wp:extent cx="1393825" cy="1393825"/>
            <wp:effectExtent l="0" t="0" r="0" b="0"/>
            <wp:wrapTight wrapText="bothSides">
              <wp:wrapPolygon edited="0">
                <wp:start x="0" y="0"/>
                <wp:lineTo x="0" y="21256"/>
                <wp:lineTo x="21256" y="21256"/>
                <wp:lineTo x="21256" y="0"/>
                <wp:lineTo x="0" y="0"/>
              </wp:wrapPolygon>
            </wp:wrapTight>
            <wp:docPr id="92403408"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03408" name="Grafik 9"/>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93825" cy="1393825"/>
                    </a:xfrm>
                    <a:prstGeom prst="rect">
                      <a:avLst/>
                    </a:prstGeom>
                    <a:noFill/>
                    <a:ln>
                      <a:noFill/>
                    </a:ln>
                  </pic:spPr>
                </pic:pic>
              </a:graphicData>
            </a:graphic>
          </wp:anchor>
        </w:drawing>
      </w:r>
    </w:p>
    <w:p w14:paraId="54594189" w14:textId="1FE63F74" w:rsidR="00B02664" w:rsidRDefault="00B02664" w:rsidP="00B02664"/>
    <w:p w14:paraId="26B229D5" w14:textId="77777777" w:rsidR="00B02664" w:rsidRDefault="00B02664" w:rsidP="00B02664"/>
    <w:p w14:paraId="1C572AB7" w14:textId="77777777" w:rsidR="00B02664" w:rsidRDefault="00B02664" w:rsidP="00B02664"/>
    <w:p w14:paraId="5E607F35" w14:textId="77777777" w:rsidR="00B02664" w:rsidRDefault="00B02664" w:rsidP="00B02664"/>
    <w:p w14:paraId="23D33787" w14:textId="77777777" w:rsidR="00B02664" w:rsidRDefault="00B02664" w:rsidP="00B02664"/>
    <w:p w14:paraId="731BA224" w14:textId="77777777" w:rsidR="00B02664" w:rsidRDefault="00B02664" w:rsidP="00B02664"/>
    <w:p w14:paraId="4EE897BC" w14:textId="77777777" w:rsidR="00B02664" w:rsidRDefault="00B02664" w:rsidP="00B02664"/>
    <w:p w14:paraId="63C8FAF7" w14:textId="77777777" w:rsidR="00B02664" w:rsidRDefault="00B02664" w:rsidP="00B02664"/>
    <w:p w14:paraId="23F613FF" w14:textId="77777777" w:rsidR="00B02664" w:rsidRDefault="00B02664" w:rsidP="00B02664"/>
    <w:p w14:paraId="5E86ACDF" w14:textId="3269DB87" w:rsidR="00B02664" w:rsidRDefault="00B02664" w:rsidP="00B02664">
      <w:pPr>
        <w:pStyle w:val="ekvue3arial"/>
      </w:pPr>
      <w:r>
        <w:t>Troy Davis: Ein Fall, der die Debatte über die Todesstrafe neu entfacht</w:t>
      </w:r>
    </w:p>
    <w:p w14:paraId="46D2EFB9" w14:textId="4C44CB1A" w:rsidR="00B02664" w:rsidRDefault="00B02664" w:rsidP="00B02664">
      <w:r>
        <w:t>Savannah, Georgia, 21. September 2011 – Troy Anthony Davis, ein afroamerikanischer Mann, wurde heute trotz internationaler Proteste und erheblicher Zweifel an seiner Schuld hingerichtet. Davis war 1989 wegen des Mordes an dem Polizisten Mark MacPhail verhaftet worden. Während des Prozesses gab es zahlreiche widersprüchliche Zeugenaussagen; einige Zeugen zogen ihre Aussagen später zurück oder berichteten, sie seien unter Druck oder Angst zu belastenden Aussagen gedrängt worden. Physische Beweise, die Davis</w:t>
      </w:r>
      <w:r>
        <w:rPr>
          <w:rFonts w:cs="Arial"/>
        </w:rPr>
        <w:t>’</w:t>
      </w:r>
      <w:r>
        <w:t xml:space="preserve"> Schuld zweifelsfrei belegten, existierten nicht.</w:t>
      </w:r>
    </w:p>
    <w:p w14:paraId="2543787B" w14:textId="77777777" w:rsidR="00B02664" w:rsidRDefault="00B02664" w:rsidP="00B02664">
      <w:r>
        <w:t>Menschenrechtsorganisationen, darunter Amnesty International, sowie internationale Persönlichkeiten appellierten in den vergangenen Jahren wiederholt an die Behörden, das Todesurteil auszusetzen. Sie wiesen auf die Risiken von Fehlurteilen, mögliche rassistische und soziale Ungleichheiten im Justizsystem und die ethische Frage hin, ob ein derart endgültiger Eingriff wie die Todesstrafe gerechtfertigt werden könne.</w:t>
      </w:r>
    </w:p>
    <w:p w14:paraId="2871CC38" w14:textId="77777777" w:rsidR="00B02664" w:rsidRDefault="00B02664" w:rsidP="00B02664">
      <w:r>
        <w:t>Trotz dieser Einwände wurde Troy Davis hingerichtet. Sein Fall steht nun als Symbol für die Debatte um die Todesstrafe: Er verdeutlicht die Gefahr irreversibler Strafen in einem System, das auf belastbaren Beweisen und fairen Verfahren basieren sollte, und wirft grundlegende Fragen nach Gerechtigkeit, Rechtssicherheit und staatlicher Verantwortung auf.</w:t>
      </w:r>
    </w:p>
    <w:p w14:paraId="30B44966" w14:textId="77777777" w:rsidR="00B02664" w:rsidRDefault="00B02664" w:rsidP="00B02664">
      <w:r>
        <w:t>Die internationale Aufmerksamkeit und die breite öffentliche Diskussion um den Fall Davis unterstreichen die anhaltende Kontroverse über die Todesstrafe weltweit und dienen als Mahnung, ethische und rechtliche Standards stets kritisch zu prüfen.</w:t>
      </w:r>
    </w:p>
    <w:p w14:paraId="0CFF2CFB" w14:textId="77777777" w:rsidR="00B02664" w:rsidRDefault="00B02664" w:rsidP="00B02664"/>
    <w:p w14:paraId="0F70ABB8" w14:textId="4F7AD540" w:rsidR="00B02664" w:rsidRDefault="00B02664" w:rsidP="00B02664">
      <w:pPr>
        <w:pStyle w:val="ekvue3arial"/>
      </w:pPr>
      <w:r>
        <w:t>Fragen zum Fall</w:t>
      </w:r>
    </w:p>
    <w:p w14:paraId="70786744" w14:textId="77777777" w:rsidR="00B02664" w:rsidRPr="00A86F4C" w:rsidRDefault="00B02664" w:rsidP="00A86F4C">
      <w:pPr>
        <w:pStyle w:val="ekvaufzhlung"/>
      </w:pPr>
      <w:r w:rsidRPr="00A86F4C">
        <w:t>•</w:t>
      </w:r>
      <w:r w:rsidRPr="00A86F4C">
        <w:tab/>
        <w:t>Welche Probleme im Rechtssystem werden hier deutlich?</w:t>
      </w:r>
    </w:p>
    <w:p w14:paraId="561E8919" w14:textId="77777777" w:rsidR="00B02664" w:rsidRPr="00A86F4C" w:rsidRDefault="00B02664" w:rsidP="00A86F4C">
      <w:pPr>
        <w:pStyle w:val="ekvaufzhlung"/>
      </w:pPr>
      <w:r w:rsidRPr="00A86F4C">
        <w:t>•</w:t>
      </w:r>
      <w:r w:rsidRPr="00A86F4C">
        <w:tab/>
        <w:t>Welche ethischen Dilemmata entstehen, wenn man über Leben und Tod entscheidet?</w:t>
      </w:r>
    </w:p>
    <w:p w14:paraId="6C7E6569" w14:textId="77777777" w:rsidR="00B02664" w:rsidRPr="00A86F4C" w:rsidRDefault="00B02664" w:rsidP="00A86F4C">
      <w:pPr>
        <w:pStyle w:val="ekvaufzhlung"/>
      </w:pPr>
      <w:r w:rsidRPr="00A86F4C">
        <w:t>•</w:t>
      </w:r>
      <w:r w:rsidRPr="00A86F4C">
        <w:tab/>
        <w:t>Welche Bedeutung haben Menschenwürde, Fehleranfälligkeit des Systems und Gerechtigkeit?</w:t>
      </w:r>
    </w:p>
    <w:p w14:paraId="23069B26" w14:textId="77777777" w:rsidR="00B02664" w:rsidRDefault="00B02664" w:rsidP="00B02664"/>
    <w:p w14:paraId="48056B79" w14:textId="3653C6ED" w:rsidR="00B02664" w:rsidRDefault="00B02664" w:rsidP="00B02664">
      <w:pPr>
        <w:pStyle w:val="ekvue3arial"/>
      </w:pPr>
      <w:r>
        <w:t>Arbeitsauftrag</w:t>
      </w:r>
    </w:p>
    <w:p w14:paraId="12F8E464" w14:textId="6EDF66A1" w:rsidR="00B02664" w:rsidRPr="00A86F4C" w:rsidRDefault="00B02664" w:rsidP="00A86F4C">
      <w:pPr>
        <w:pStyle w:val="ekvaufzhlung"/>
      </w:pPr>
      <w:r w:rsidRPr="00A86F4C">
        <w:t>1.</w:t>
      </w:r>
      <w:r w:rsidR="00A86F4C">
        <w:tab/>
      </w:r>
      <w:r w:rsidRPr="00A86F4C">
        <w:t xml:space="preserve">Recherchiere den Fall von Troy Davis und notiere, welche Argumente für und gegen die Todesstrafe </w:t>
      </w:r>
      <w:r w:rsidR="00A158BF">
        <w:br/>
      </w:r>
      <w:r w:rsidRPr="00A86F4C">
        <w:t>in diesem Fall gelten könnten.</w:t>
      </w:r>
    </w:p>
    <w:p w14:paraId="062D7641" w14:textId="61B9B8A0" w:rsidR="00901B13" w:rsidRPr="00A86F4C" w:rsidRDefault="00B02664" w:rsidP="00A86F4C">
      <w:pPr>
        <w:pStyle w:val="ekvaufzhlung"/>
      </w:pPr>
      <w:r w:rsidRPr="00A86F4C">
        <w:t>2.</w:t>
      </w:r>
      <w:r w:rsidR="00A86F4C">
        <w:tab/>
      </w:r>
      <w:r w:rsidRPr="00A86F4C">
        <w:t>Erörtere: Wäre eine andere Strafe gerechter gewesen? Warum?</w:t>
      </w:r>
    </w:p>
    <w:p w14:paraId="483E6A22" w14:textId="77777777" w:rsidR="00B02664" w:rsidRPr="00B02664" w:rsidRDefault="00B02664" w:rsidP="00B02664"/>
    <w:p w14:paraId="7FCAD652" w14:textId="77777777" w:rsidR="00B02664" w:rsidRPr="00B02664" w:rsidRDefault="00B02664" w:rsidP="00B02664"/>
    <w:p w14:paraId="7316DCD9" w14:textId="77777777" w:rsidR="00B02664" w:rsidRPr="00B02664" w:rsidRDefault="00B02664" w:rsidP="00B02664"/>
    <w:p w14:paraId="1EDC4AC6" w14:textId="77777777" w:rsidR="00B02664" w:rsidRPr="00B02664" w:rsidRDefault="00B02664" w:rsidP="00B02664"/>
    <w:p w14:paraId="58D99171" w14:textId="77777777" w:rsidR="00B02664" w:rsidRPr="00B02664" w:rsidRDefault="00B02664" w:rsidP="00B02664"/>
    <w:p w14:paraId="73B2D06F" w14:textId="77777777" w:rsidR="00B02664" w:rsidRPr="00B02664" w:rsidRDefault="00B02664" w:rsidP="00B02664"/>
    <w:p w14:paraId="66B24DAE" w14:textId="77777777" w:rsidR="00B02664" w:rsidRPr="00B02664" w:rsidRDefault="00B02664" w:rsidP="00B02664"/>
    <w:p w14:paraId="7B62C269" w14:textId="77777777" w:rsidR="00B02664" w:rsidRPr="00B02664" w:rsidRDefault="00B02664" w:rsidP="00B02664"/>
    <w:p w14:paraId="40FD1D15" w14:textId="77777777" w:rsidR="00B02664" w:rsidRDefault="00B02664" w:rsidP="00B02664"/>
    <w:p w14:paraId="557D7154" w14:textId="487188D2" w:rsidR="00B02664" w:rsidRPr="00B02664" w:rsidRDefault="00B02664" w:rsidP="00B02664">
      <w:pPr>
        <w:tabs>
          <w:tab w:val="clear" w:pos="340"/>
          <w:tab w:val="clear" w:pos="595"/>
          <w:tab w:val="clear" w:pos="851"/>
          <w:tab w:val="left" w:pos="5938"/>
        </w:tabs>
      </w:pPr>
      <w:r>
        <w:tab/>
      </w:r>
    </w:p>
    <w:sectPr w:rsidR="00B02664" w:rsidRPr="00B02664" w:rsidSect="00720DCE">
      <w:headerReference w:type="default" r:id="rId7"/>
      <w:footerReference w:type="default" r:id="rId8"/>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70C273" w14:textId="77777777" w:rsidR="00B02664" w:rsidRDefault="00B02664" w:rsidP="003C599D">
      <w:pPr>
        <w:spacing w:line="240" w:lineRule="auto"/>
      </w:pPr>
      <w:r>
        <w:separator/>
      </w:r>
    </w:p>
  </w:endnote>
  <w:endnote w:type="continuationSeparator" w:id="0">
    <w:p w14:paraId="7E5A18EC" w14:textId="77777777" w:rsidR="00B02664" w:rsidRDefault="00B02664"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0FC336FF" w14:textId="77777777" w:rsidTr="00503EE6">
      <w:trPr>
        <w:trHeight w:hRule="exact" w:val="680"/>
      </w:trPr>
      <w:tc>
        <w:tcPr>
          <w:tcW w:w="864" w:type="dxa"/>
          <w:noWrap/>
        </w:tcPr>
        <w:p w14:paraId="36A2F68B" w14:textId="77777777" w:rsidR="002659C5" w:rsidRPr="00913892" w:rsidRDefault="002659C5" w:rsidP="005E4C30">
          <w:pPr>
            <w:pStyle w:val="ekvpaginabild"/>
            <w:jc w:val="both"/>
          </w:pPr>
          <w:r w:rsidRPr="00913892">
            <w:rPr>
              <w:noProof/>
              <w:lang w:eastAsia="de-DE"/>
            </w:rPr>
            <w:drawing>
              <wp:inline distT="0" distB="0" distL="0" distR="0" wp14:anchorId="53971F98" wp14:editId="67A3F07E">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24D8FBB4" w14:textId="31044418" w:rsidR="002659C5" w:rsidRPr="00913892" w:rsidRDefault="002659C5" w:rsidP="00503EE6">
          <w:pPr>
            <w:pStyle w:val="ekvpagina"/>
          </w:pPr>
          <w:r w:rsidRPr="00913892">
            <w:t xml:space="preserve">© Ernst Klett Verlag GmbH, </w:t>
          </w:r>
          <w:r w:rsidR="00CF40E8">
            <w:t>Stuttgart 20</w:t>
          </w:r>
          <w:r w:rsidR="00A158BF">
            <w:t>25</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4374E6AC" w14:textId="7E451A96" w:rsidR="002659C5" w:rsidRPr="00913892" w:rsidRDefault="000E200F" w:rsidP="000E200F">
          <w:pPr>
            <w:pStyle w:val="ekvquelle"/>
          </w:pPr>
          <w:r w:rsidRPr="000E200F">
            <w:rPr>
              <w:rStyle w:val="ekvquellefett"/>
            </w:rPr>
            <w:t>Text:</w:t>
          </w:r>
          <w:r>
            <w:t xml:space="preserve"> </w:t>
          </w:r>
          <w:r w:rsidR="00B02664">
            <w:t>Stefan Lesser</w:t>
          </w:r>
        </w:p>
      </w:tc>
      <w:tc>
        <w:tcPr>
          <w:tcW w:w="813" w:type="dxa"/>
        </w:tcPr>
        <w:p w14:paraId="76C21C43" w14:textId="77777777" w:rsidR="002659C5" w:rsidRPr="00913892" w:rsidRDefault="002659C5" w:rsidP="00913892">
          <w:pPr>
            <w:pStyle w:val="ekvpagina"/>
          </w:pPr>
        </w:p>
      </w:tc>
    </w:tr>
  </w:tbl>
  <w:p w14:paraId="4F218377"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B880EA" w14:textId="77777777" w:rsidR="00B02664" w:rsidRDefault="00B02664" w:rsidP="003C599D">
      <w:pPr>
        <w:spacing w:line="240" w:lineRule="auto"/>
      </w:pPr>
      <w:r>
        <w:separator/>
      </w:r>
    </w:p>
  </w:footnote>
  <w:footnote w:type="continuationSeparator" w:id="0">
    <w:p w14:paraId="797D51B8" w14:textId="77777777" w:rsidR="00B02664" w:rsidRDefault="00B02664"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71D2EFA0" w14:textId="77777777" w:rsidTr="00431E62">
      <w:trPr>
        <w:trHeight w:hRule="exact" w:val="510"/>
      </w:trPr>
      <w:tc>
        <w:tcPr>
          <w:tcW w:w="818" w:type="dxa"/>
          <w:tcBorders>
            <w:top w:val="nil"/>
            <w:bottom w:val="nil"/>
            <w:right w:val="nil"/>
          </w:tcBorders>
          <w:noWrap/>
          <w:vAlign w:val="bottom"/>
        </w:tcPr>
        <w:p w14:paraId="4830DEF0" w14:textId="77777777" w:rsidR="00901B13" w:rsidRPr="00AE65F6" w:rsidRDefault="00901B13" w:rsidP="00901B13"/>
      </w:tc>
      <w:tc>
        <w:tcPr>
          <w:tcW w:w="3856" w:type="dxa"/>
          <w:tcBorders>
            <w:top w:val="nil"/>
            <w:left w:val="nil"/>
            <w:bottom w:val="nil"/>
            <w:right w:val="nil"/>
          </w:tcBorders>
          <w:noWrap/>
          <w:vAlign w:val="bottom"/>
        </w:tcPr>
        <w:p w14:paraId="15E58A23"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21F1183D"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393BA67D"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406EEA71" w14:textId="77777777" w:rsidR="00901B13" w:rsidRPr="007C1230" w:rsidRDefault="00901B13" w:rsidP="00901B13">
          <w:pPr>
            <w:pStyle w:val="ekvkvnummer"/>
          </w:pPr>
        </w:p>
      </w:tc>
      <w:tc>
        <w:tcPr>
          <w:tcW w:w="883" w:type="dxa"/>
          <w:tcBorders>
            <w:top w:val="nil"/>
            <w:left w:val="nil"/>
            <w:bottom w:val="nil"/>
          </w:tcBorders>
          <w:noWrap/>
          <w:vAlign w:val="bottom"/>
        </w:tcPr>
        <w:p w14:paraId="7A24D381" w14:textId="77777777" w:rsidR="00901B13" w:rsidRPr="007636A0" w:rsidRDefault="00901B13" w:rsidP="00901B13">
          <w:pPr>
            <w:pStyle w:val="ekvkapitel"/>
            <w:rPr>
              <w:color w:val="FFFFFF" w:themeColor="background1"/>
            </w:rPr>
          </w:pPr>
        </w:p>
      </w:tc>
    </w:tr>
    <w:tr w:rsidR="00901B13" w:rsidRPr="00BF17F2" w14:paraId="3D09B809"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443FBF64"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5C9E3951" w14:textId="77777777" w:rsidR="00901B13" w:rsidRPr="00BF17F2" w:rsidRDefault="00901B13" w:rsidP="00901B13">
          <w:pPr>
            <w:rPr>
              <w:color w:val="FFFFFF" w:themeColor="background1"/>
            </w:rPr>
          </w:pPr>
        </w:p>
      </w:tc>
    </w:tr>
  </w:tbl>
  <w:p w14:paraId="38E6026B" w14:textId="77777777" w:rsidR="00901B13" w:rsidRDefault="00901B13">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664"/>
    <w:rsid w:val="000040E2"/>
    <w:rsid w:val="0001210D"/>
    <w:rsid w:val="00014D7E"/>
    <w:rsid w:val="0002009E"/>
    <w:rsid w:val="00020440"/>
    <w:rsid w:val="000307B4"/>
    <w:rsid w:val="00030EDB"/>
    <w:rsid w:val="000317DC"/>
    <w:rsid w:val="00035074"/>
    <w:rsid w:val="00037566"/>
    <w:rsid w:val="00043523"/>
    <w:rsid w:val="000520A2"/>
    <w:rsid w:val="000523D4"/>
    <w:rsid w:val="00053B2F"/>
    <w:rsid w:val="00054678"/>
    <w:rsid w:val="00054A93"/>
    <w:rsid w:val="0006258C"/>
    <w:rsid w:val="00062D31"/>
    <w:rsid w:val="000756D0"/>
    <w:rsid w:val="000779C3"/>
    <w:rsid w:val="000812E6"/>
    <w:rsid w:val="00090AB2"/>
    <w:rsid w:val="000928AA"/>
    <w:rsid w:val="00092E87"/>
    <w:rsid w:val="000939F5"/>
    <w:rsid w:val="00094F01"/>
    <w:rsid w:val="000A13A1"/>
    <w:rsid w:val="000A4BD4"/>
    <w:rsid w:val="000A51A5"/>
    <w:rsid w:val="000A7892"/>
    <w:rsid w:val="000B098D"/>
    <w:rsid w:val="000B7BD3"/>
    <w:rsid w:val="000C11E0"/>
    <w:rsid w:val="000C77CA"/>
    <w:rsid w:val="000D40DE"/>
    <w:rsid w:val="000D4791"/>
    <w:rsid w:val="000D5ADE"/>
    <w:rsid w:val="000E200F"/>
    <w:rsid w:val="000E343E"/>
    <w:rsid w:val="000E72F2"/>
    <w:rsid w:val="000F21E8"/>
    <w:rsid w:val="000F47EE"/>
    <w:rsid w:val="000F6468"/>
    <w:rsid w:val="000F7910"/>
    <w:rsid w:val="00103057"/>
    <w:rsid w:val="00107D77"/>
    <w:rsid w:val="00116EF2"/>
    <w:rsid w:val="00124062"/>
    <w:rsid w:val="00126C2B"/>
    <w:rsid w:val="00131417"/>
    <w:rsid w:val="001343C4"/>
    <w:rsid w:val="00137DDD"/>
    <w:rsid w:val="00140765"/>
    <w:rsid w:val="001524C9"/>
    <w:rsid w:val="00161B4B"/>
    <w:rsid w:val="001641FA"/>
    <w:rsid w:val="0016475A"/>
    <w:rsid w:val="00165ECC"/>
    <w:rsid w:val="00166019"/>
    <w:rsid w:val="00182050"/>
    <w:rsid w:val="00182B7D"/>
    <w:rsid w:val="001845AC"/>
    <w:rsid w:val="00186866"/>
    <w:rsid w:val="00190B65"/>
    <w:rsid w:val="00193A18"/>
    <w:rsid w:val="001A3936"/>
    <w:rsid w:val="001A5BD5"/>
    <w:rsid w:val="001B454A"/>
    <w:rsid w:val="001C2DC7"/>
    <w:rsid w:val="001C2F20"/>
    <w:rsid w:val="001C3792"/>
    <w:rsid w:val="001C499E"/>
    <w:rsid w:val="001C6C8F"/>
    <w:rsid w:val="001D0CB4"/>
    <w:rsid w:val="001D1169"/>
    <w:rsid w:val="001D2674"/>
    <w:rsid w:val="001D39FD"/>
    <w:rsid w:val="001D7E89"/>
    <w:rsid w:val="001D7FE6"/>
    <w:rsid w:val="001E485B"/>
    <w:rsid w:val="001F1E3D"/>
    <w:rsid w:val="001F26EC"/>
    <w:rsid w:val="001F5252"/>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7B24"/>
    <w:rsid w:val="00287DC0"/>
    <w:rsid w:val="00291485"/>
    <w:rsid w:val="00292470"/>
    <w:rsid w:val="0029673A"/>
    <w:rsid w:val="002A25AE"/>
    <w:rsid w:val="002B3DF1"/>
    <w:rsid w:val="002B52EB"/>
    <w:rsid w:val="002B64EA"/>
    <w:rsid w:val="002C5D15"/>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9268F"/>
    <w:rsid w:val="00392F9B"/>
    <w:rsid w:val="00394595"/>
    <w:rsid w:val="003945FF"/>
    <w:rsid w:val="0039465E"/>
    <w:rsid w:val="003A1A19"/>
    <w:rsid w:val="003A4682"/>
    <w:rsid w:val="003A5B0C"/>
    <w:rsid w:val="003B01CD"/>
    <w:rsid w:val="003B348E"/>
    <w:rsid w:val="003B3ED5"/>
    <w:rsid w:val="003C113F"/>
    <w:rsid w:val="003C39DC"/>
    <w:rsid w:val="003C599D"/>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5402"/>
    <w:rsid w:val="004819BA"/>
    <w:rsid w:val="00483A7A"/>
    <w:rsid w:val="00483D65"/>
    <w:rsid w:val="00484B24"/>
    <w:rsid w:val="00486B3D"/>
    <w:rsid w:val="00490692"/>
    <w:rsid w:val="004925F2"/>
    <w:rsid w:val="004A66C3"/>
    <w:rsid w:val="004A66CF"/>
    <w:rsid w:val="004B17DA"/>
    <w:rsid w:val="004C020F"/>
    <w:rsid w:val="004E3969"/>
    <w:rsid w:val="004F45AB"/>
    <w:rsid w:val="00501528"/>
    <w:rsid w:val="00503EE6"/>
    <w:rsid w:val="005069C1"/>
    <w:rsid w:val="00510F4C"/>
    <w:rsid w:val="00514229"/>
    <w:rsid w:val="005156EC"/>
    <w:rsid w:val="005168A4"/>
    <w:rsid w:val="0052117E"/>
    <w:rsid w:val="00521B91"/>
    <w:rsid w:val="005252D2"/>
    <w:rsid w:val="00530C92"/>
    <w:rsid w:val="00535AD8"/>
    <w:rsid w:val="00547103"/>
    <w:rsid w:val="00554EDA"/>
    <w:rsid w:val="00560848"/>
    <w:rsid w:val="00570137"/>
    <w:rsid w:val="0057200E"/>
    <w:rsid w:val="00572A0F"/>
    <w:rsid w:val="00574FE0"/>
    <w:rsid w:val="00576D2D"/>
    <w:rsid w:val="00583FC8"/>
    <w:rsid w:val="00584F88"/>
    <w:rsid w:val="005859EB"/>
    <w:rsid w:val="00587CF5"/>
    <w:rsid w:val="00587DF4"/>
    <w:rsid w:val="00597E2F"/>
    <w:rsid w:val="005A3FB2"/>
    <w:rsid w:val="005A6D94"/>
    <w:rsid w:val="005B6C9C"/>
    <w:rsid w:val="005C047C"/>
    <w:rsid w:val="005C0FBD"/>
    <w:rsid w:val="005C400B"/>
    <w:rsid w:val="005C49D0"/>
    <w:rsid w:val="005D367A"/>
    <w:rsid w:val="005D3E99"/>
    <w:rsid w:val="005D79B8"/>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201CB"/>
    <w:rsid w:val="00622F6B"/>
    <w:rsid w:val="00627765"/>
    <w:rsid w:val="00627A02"/>
    <w:rsid w:val="0064120B"/>
    <w:rsid w:val="00644BA9"/>
    <w:rsid w:val="0064692C"/>
    <w:rsid w:val="00653F68"/>
    <w:rsid w:val="00666D95"/>
    <w:rsid w:val="006802C4"/>
    <w:rsid w:val="0068429A"/>
    <w:rsid w:val="00685FDD"/>
    <w:rsid w:val="006912DC"/>
    <w:rsid w:val="00693676"/>
    <w:rsid w:val="006A5611"/>
    <w:rsid w:val="006A56D2"/>
    <w:rsid w:val="006A71DE"/>
    <w:rsid w:val="006A76D7"/>
    <w:rsid w:val="006B0743"/>
    <w:rsid w:val="006B2D23"/>
    <w:rsid w:val="006B3EF4"/>
    <w:rsid w:val="006B6247"/>
    <w:rsid w:val="006C4E52"/>
    <w:rsid w:val="006C6A77"/>
    <w:rsid w:val="006D1212"/>
    <w:rsid w:val="006D1F6D"/>
    <w:rsid w:val="006D45BB"/>
    <w:rsid w:val="006D49F0"/>
    <w:rsid w:val="006D7F2E"/>
    <w:rsid w:val="006E235E"/>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C1230"/>
    <w:rsid w:val="007D186F"/>
    <w:rsid w:val="007E4DDC"/>
    <w:rsid w:val="007E5E71"/>
    <w:rsid w:val="007E67B3"/>
    <w:rsid w:val="008018A8"/>
    <w:rsid w:val="00801B7F"/>
    <w:rsid w:val="00802E02"/>
    <w:rsid w:val="00810225"/>
    <w:rsid w:val="008123BA"/>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71F12"/>
    <w:rsid w:val="00874376"/>
    <w:rsid w:val="00882053"/>
    <w:rsid w:val="008942A2"/>
    <w:rsid w:val="0089534A"/>
    <w:rsid w:val="008A529C"/>
    <w:rsid w:val="008B446A"/>
    <w:rsid w:val="008B5E47"/>
    <w:rsid w:val="008C0880"/>
    <w:rsid w:val="008C27FD"/>
    <w:rsid w:val="008D3CE0"/>
    <w:rsid w:val="008D7FDC"/>
    <w:rsid w:val="008E4B7A"/>
    <w:rsid w:val="008E6248"/>
    <w:rsid w:val="008F6EDE"/>
    <w:rsid w:val="00901B13"/>
    <w:rsid w:val="00902002"/>
    <w:rsid w:val="00902CEB"/>
    <w:rsid w:val="009064C0"/>
    <w:rsid w:val="009078CB"/>
    <w:rsid w:val="00907EC2"/>
    <w:rsid w:val="00912A0A"/>
    <w:rsid w:val="00913598"/>
    <w:rsid w:val="00913892"/>
    <w:rsid w:val="0091722D"/>
    <w:rsid w:val="009215E3"/>
    <w:rsid w:val="00926C5B"/>
    <w:rsid w:val="00930B85"/>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A7B"/>
    <w:rsid w:val="009C3C75"/>
    <w:rsid w:val="009C4BE5"/>
    <w:rsid w:val="009C7609"/>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58BF"/>
    <w:rsid w:val="00A170E5"/>
    <w:rsid w:val="00A2146F"/>
    <w:rsid w:val="00A22154"/>
    <w:rsid w:val="00A238E9"/>
    <w:rsid w:val="00A23E76"/>
    <w:rsid w:val="00A26B32"/>
    <w:rsid w:val="00A27593"/>
    <w:rsid w:val="00A35787"/>
    <w:rsid w:val="00A3685C"/>
    <w:rsid w:val="00A43B4C"/>
    <w:rsid w:val="00A478DC"/>
    <w:rsid w:val="00A62578"/>
    <w:rsid w:val="00A701AF"/>
    <w:rsid w:val="00A7137C"/>
    <w:rsid w:val="00A75504"/>
    <w:rsid w:val="00A8296D"/>
    <w:rsid w:val="00A83EBE"/>
    <w:rsid w:val="00A8594A"/>
    <w:rsid w:val="00A86417"/>
    <w:rsid w:val="00A8687B"/>
    <w:rsid w:val="00A86F4C"/>
    <w:rsid w:val="00A92B79"/>
    <w:rsid w:val="00A9695B"/>
    <w:rsid w:val="00AA3E8B"/>
    <w:rsid w:val="00AA5A5A"/>
    <w:rsid w:val="00AB05CF"/>
    <w:rsid w:val="00AB0DA8"/>
    <w:rsid w:val="00AB18CA"/>
    <w:rsid w:val="00AB5327"/>
    <w:rsid w:val="00AB6AE5"/>
    <w:rsid w:val="00AB7619"/>
    <w:rsid w:val="00AC01E7"/>
    <w:rsid w:val="00AC7B89"/>
    <w:rsid w:val="00AD4D22"/>
    <w:rsid w:val="00AE3D8A"/>
    <w:rsid w:val="00AE65F6"/>
    <w:rsid w:val="00AE6AA2"/>
    <w:rsid w:val="00AF053E"/>
    <w:rsid w:val="00AF7A5F"/>
    <w:rsid w:val="00B00587"/>
    <w:rsid w:val="00B02664"/>
    <w:rsid w:val="00B039E8"/>
    <w:rsid w:val="00B043A1"/>
    <w:rsid w:val="00B12500"/>
    <w:rsid w:val="00B14B45"/>
    <w:rsid w:val="00B155E8"/>
    <w:rsid w:val="00B15F75"/>
    <w:rsid w:val="00B2194E"/>
    <w:rsid w:val="00B31F29"/>
    <w:rsid w:val="00B32DAF"/>
    <w:rsid w:val="00B3499A"/>
    <w:rsid w:val="00B37E68"/>
    <w:rsid w:val="00B468CC"/>
    <w:rsid w:val="00B52FB3"/>
    <w:rsid w:val="00B5429C"/>
    <w:rsid w:val="00B54655"/>
    <w:rsid w:val="00B6045F"/>
    <w:rsid w:val="00B6058C"/>
    <w:rsid w:val="00B60BEA"/>
    <w:rsid w:val="00B7242A"/>
    <w:rsid w:val="00B8071F"/>
    <w:rsid w:val="00B82B4E"/>
    <w:rsid w:val="00B8420E"/>
    <w:rsid w:val="00B87CF7"/>
    <w:rsid w:val="00B90CE1"/>
    <w:rsid w:val="00BA1A23"/>
    <w:rsid w:val="00BA2134"/>
    <w:rsid w:val="00BB2F2F"/>
    <w:rsid w:val="00BC2025"/>
    <w:rsid w:val="00BC2CD2"/>
    <w:rsid w:val="00BC6483"/>
    <w:rsid w:val="00BC69E3"/>
    <w:rsid w:val="00BC7335"/>
    <w:rsid w:val="00BD2616"/>
    <w:rsid w:val="00BD542D"/>
    <w:rsid w:val="00BD6E66"/>
    <w:rsid w:val="00BE1962"/>
    <w:rsid w:val="00BE4821"/>
    <w:rsid w:val="00BF17F2"/>
    <w:rsid w:val="00C00404"/>
    <w:rsid w:val="00C00540"/>
    <w:rsid w:val="00C172AE"/>
    <w:rsid w:val="00C17BE6"/>
    <w:rsid w:val="00C343F5"/>
    <w:rsid w:val="00C35D4D"/>
    <w:rsid w:val="00C40555"/>
    <w:rsid w:val="00C40D51"/>
    <w:rsid w:val="00C429A6"/>
    <w:rsid w:val="00C45D3B"/>
    <w:rsid w:val="00C46BF4"/>
    <w:rsid w:val="00C504F8"/>
    <w:rsid w:val="00C52804"/>
    <w:rsid w:val="00C52A99"/>
    <w:rsid w:val="00C52AB7"/>
    <w:rsid w:val="00C61654"/>
    <w:rsid w:val="00C70F84"/>
    <w:rsid w:val="00C717DA"/>
    <w:rsid w:val="00C727B3"/>
    <w:rsid w:val="00C72BA2"/>
    <w:rsid w:val="00C84E4C"/>
    <w:rsid w:val="00C87044"/>
    <w:rsid w:val="00C94D17"/>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6182"/>
    <w:rsid w:val="00D125BD"/>
    <w:rsid w:val="00D12661"/>
    <w:rsid w:val="00D14F61"/>
    <w:rsid w:val="00D15795"/>
    <w:rsid w:val="00D1582D"/>
    <w:rsid w:val="00D1794B"/>
    <w:rsid w:val="00D2569D"/>
    <w:rsid w:val="00D27A1B"/>
    <w:rsid w:val="00D34DC1"/>
    <w:rsid w:val="00D403F7"/>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E0F07"/>
    <w:rsid w:val="00DE287B"/>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80DED"/>
    <w:rsid w:val="00E8369E"/>
    <w:rsid w:val="00E95ED3"/>
    <w:rsid w:val="00EA2224"/>
    <w:rsid w:val="00EA7542"/>
    <w:rsid w:val="00EB2280"/>
    <w:rsid w:val="00EC1621"/>
    <w:rsid w:val="00EC1FF0"/>
    <w:rsid w:val="00EC662E"/>
    <w:rsid w:val="00ED07FE"/>
    <w:rsid w:val="00ED0B7D"/>
    <w:rsid w:val="00EE049D"/>
    <w:rsid w:val="00EE2721"/>
    <w:rsid w:val="00EE2A0B"/>
    <w:rsid w:val="00EF6029"/>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2C9C"/>
    <w:rsid w:val="00F55BE1"/>
    <w:rsid w:val="00F6336A"/>
    <w:rsid w:val="00F70B43"/>
    <w:rsid w:val="00F72065"/>
    <w:rsid w:val="00F75722"/>
    <w:rsid w:val="00F778DC"/>
    <w:rsid w:val="00F849BE"/>
    <w:rsid w:val="00F940D3"/>
    <w:rsid w:val="00F94A4B"/>
    <w:rsid w:val="00F97237"/>
    <w:rsid w:val="00F97AD4"/>
    <w:rsid w:val="00FA07D2"/>
    <w:rsid w:val="00FA3E81"/>
    <w:rsid w:val="00FB0917"/>
    <w:rsid w:val="00FB0F16"/>
    <w:rsid w:val="00FB123D"/>
    <w:rsid w:val="00FB1D7F"/>
    <w:rsid w:val="00FB59FB"/>
    <w:rsid w:val="00FB72A0"/>
    <w:rsid w:val="00FC1D8A"/>
    <w:rsid w:val="00FC35C5"/>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BB5981"/>
  <w15:chartTrackingRefBased/>
  <w15:docId w15:val="{9DC3BCC0-35A3-4923-979C-13BA57410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0E200F"/>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semiHidden/>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 w:type="character" w:customStyle="1" w:styleId="ekvquellefett">
    <w:name w:val="ekv.quelle.fett"/>
    <w:basedOn w:val="Absatz-Standardschriftart"/>
    <w:uiPriority w:val="1"/>
    <w:qFormat/>
    <w:rsid w:val="000E200F"/>
    <w:rPr>
      <w:rFonts w:ascii="Arial" w:hAnsi="Arial"/>
      <w:b/>
      <w:sz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p175\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299</Words>
  <Characters>1888</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2183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2</cp:revision>
  <cp:lastPrinted>2016-12-23T16:36:00Z</cp:lastPrinted>
  <dcterms:created xsi:type="dcterms:W3CDTF">2025-09-19T06:18:00Z</dcterms:created>
  <dcterms:modified xsi:type="dcterms:W3CDTF">2025-09-19T06:18:00Z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