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C64BC" w14:textId="39C93845" w:rsidR="00901B13" w:rsidRDefault="009A6C7C" w:rsidP="009A6C7C">
      <w:pPr>
        <w:pStyle w:val="ekvue2arial"/>
      </w:pPr>
      <w:bookmarkStart w:id="0" w:name="bmStart"/>
      <w:bookmarkEnd w:id="0"/>
      <w:r w:rsidRPr="009A6C7C">
        <w:t>Toolbox: Selbstwirksamkeit im Schulalltag fördern</w:t>
      </w:r>
    </w:p>
    <w:p w14:paraId="18D1C0CD" w14:textId="77777777" w:rsidR="009A6C7C" w:rsidRDefault="009A6C7C" w:rsidP="00FD20A8"/>
    <w:p w14:paraId="7DA71C32" w14:textId="77777777" w:rsidR="009A6C7C" w:rsidRDefault="009A6C7C" w:rsidP="009A6C7C">
      <w:pPr>
        <w:pStyle w:val="ekvue3arial"/>
      </w:pPr>
      <w:r>
        <w:t>1. Lernumgebung gestalten</w:t>
      </w:r>
    </w:p>
    <w:p w14:paraId="7E7165B3" w14:textId="6E12449A" w:rsidR="009A6C7C" w:rsidRDefault="009A6C7C" w:rsidP="009A6C7C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>
        <w:t>Schreibe zu Beginn der Stunde ein Lernziel an die Tafel, z. B.: Heute lernst du, wie man eine Quellenkritik aufbaut. Lass die Schülerinnen und Schüler am Ende der Stunde mit drei Sätzen reflektieren, ob und wie sie das Ziel erreicht haben.</w:t>
      </w:r>
    </w:p>
    <w:p w14:paraId="3922B815" w14:textId="404B7230" w:rsidR="009A6C7C" w:rsidRDefault="009A6C7C" w:rsidP="009A6C7C">
      <w:r w:rsidRPr="00D559DE">
        <w:rPr>
          <w:rStyle w:val="ekvsymbol"/>
        </w:rPr>
        <w:sym w:font="Wingdings" w:char="F0A8"/>
      </w:r>
      <w:r w:rsidRPr="00B32DAF">
        <w:tab/>
      </w:r>
      <w:r w:rsidRPr="009A6C7C">
        <w:t>Spielräume lassen – Wahlmöglichkeiten bei Methoden, Themen oder Präsentationsformen anbieten.</w:t>
      </w:r>
    </w:p>
    <w:p w14:paraId="054E43AD" w14:textId="6F2F8CF1" w:rsidR="009A6C7C" w:rsidRDefault="009A6C7C" w:rsidP="009A6C7C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>
        <w:t>N</w:t>
      </w:r>
      <w:r w:rsidRPr="009A6C7C">
        <w:t xml:space="preserve">utze eine feste Ritualfrage nach Arbeitsphasen: Welcher Fehler hat dich heute weitergebracht? – </w:t>
      </w:r>
      <w:r w:rsidR="006420FB">
        <w:br/>
      </w:r>
      <w:r w:rsidRPr="009A6C7C">
        <w:t>So werden Fehler systematisch als Lernchance verankert.</w:t>
      </w:r>
    </w:p>
    <w:p w14:paraId="40B0F4AC" w14:textId="77777777" w:rsidR="009A6C7C" w:rsidRDefault="009A6C7C" w:rsidP="009A6C7C">
      <w:pPr>
        <w:ind w:left="340" w:hanging="340"/>
      </w:pPr>
    </w:p>
    <w:p w14:paraId="1253D9E4" w14:textId="77777777" w:rsidR="009A6C7C" w:rsidRDefault="009A6C7C" w:rsidP="009A6C7C">
      <w:pPr>
        <w:pStyle w:val="ekvue3arial"/>
      </w:pPr>
      <w:r>
        <w:t>2. Aufgaben sinnvoll strukturieren</w:t>
      </w:r>
    </w:p>
    <w:p w14:paraId="2294E8B9" w14:textId="196188F5" w:rsidR="009A6C7C" w:rsidRDefault="009A6C7C" w:rsidP="009A6C7C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>
        <w:t>Erreichbare Etappen schaffen – Bei einem Referat nicht nur die Endnote bewerten, sondern auch Zwischenschritte wie Themenfindung, Gliederung oder Probenlauf mit kurzen Feedbacks begleiten.</w:t>
      </w:r>
    </w:p>
    <w:p w14:paraId="296EF3F6" w14:textId="4DB6C8E9" w:rsidR="009A6C7C" w:rsidRDefault="009A6C7C" w:rsidP="009A6C7C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Herausforderungen dosieren – Aufgaben so stellen, dass sie anspruchsvoll, aber machbar sind („Zone </w:t>
      </w:r>
      <w:r w:rsidR="006420FB">
        <w:br/>
      </w:r>
      <w:r>
        <w:t>der nächsten Entwicklung“).</w:t>
      </w:r>
    </w:p>
    <w:p w14:paraId="5531A64C" w14:textId="77777777" w:rsidR="009A6C7C" w:rsidRDefault="009A6C7C" w:rsidP="009A6C7C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>
        <w:t>Alltagsnähe einbauen – Mathematik: Zinsrechnen anhand eines realistischen Beispiels aus Bankangeboten üben.</w:t>
      </w:r>
    </w:p>
    <w:p w14:paraId="2BAD9B97" w14:textId="784661D7" w:rsidR="009A6C7C" w:rsidRDefault="009A6C7C" w:rsidP="009A6C7C">
      <w:pPr>
        <w:ind w:left="340" w:hanging="340"/>
      </w:pPr>
      <w:r>
        <w:tab/>
        <w:t xml:space="preserve">Ethik: Diskutiere KI oder </w:t>
      </w:r>
      <w:proofErr w:type="spellStart"/>
      <w:r>
        <w:t>Social</w:t>
      </w:r>
      <w:proofErr w:type="spellEnd"/>
      <w:r>
        <w:t xml:space="preserve"> Media nicht abstrakt, sondern anhand aktueller Nachrichtenmeldungen, </w:t>
      </w:r>
      <w:r w:rsidR="006420FB">
        <w:br/>
      </w:r>
      <w:r>
        <w:t>die Schülerinnen und Schüler mitbringen.</w:t>
      </w:r>
    </w:p>
    <w:p w14:paraId="6DF3996E" w14:textId="77777777" w:rsidR="009A6C7C" w:rsidRDefault="009A6C7C" w:rsidP="009A6C7C">
      <w:pPr>
        <w:ind w:left="340" w:hanging="340"/>
      </w:pPr>
    </w:p>
    <w:p w14:paraId="5E491B6E" w14:textId="7F903C0B" w:rsidR="009A6C7C" w:rsidRDefault="009A6C7C" w:rsidP="003255F3">
      <w:pPr>
        <w:pStyle w:val="ekvue3arial"/>
      </w:pPr>
      <w:r>
        <w:t xml:space="preserve">3. Rückmeldung </w:t>
      </w:r>
      <w:r w:rsidR="003255F3">
        <w:t>und</w:t>
      </w:r>
      <w:r>
        <w:t xml:space="preserve"> Anerkennung</w:t>
      </w:r>
    </w:p>
    <w:p w14:paraId="474FE7E2" w14:textId="412B6D1E" w:rsidR="009A6C7C" w:rsidRDefault="003255F3" w:rsidP="003255F3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 w:rsidR="009A6C7C">
        <w:t xml:space="preserve">Individuelles Feedback geben – Führe einmal im Monat eine </w:t>
      </w:r>
      <w:r>
        <w:t>Fünf</w:t>
      </w:r>
      <w:r w:rsidR="009A6C7C">
        <w:t>-Minuten-Feedback-Runde mit jeder Schülerin/jedem Schüler. Dabei liegt der Fokus nicht auf Noten, sondern auf Fortschritten und persönlichen Stärken</w:t>
      </w:r>
      <w:r>
        <w:t>.</w:t>
      </w:r>
    </w:p>
    <w:p w14:paraId="58DB1549" w14:textId="45440358" w:rsidR="009A6C7C" w:rsidRDefault="003255F3" w:rsidP="003255F3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 w:rsidR="009A6C7C">
        <w:t xml:space="preserve">Reflexion ermöglichen – Lass Schülerinnen und Schüler nach Gruppenarbeiten ein Post-it mit der Antwort auf </w:t>
      </w:r>
      <w:r>
        <w:t>die Frage „</w:t>
      </w:r>
      <w:r w:rsidR="009A6C7C">
        <w:t>Was habe ich heute geschafft?</w:t>
      </w:r>
      <w:r>
        <w:t>“</w:t>
      </w:r>
      <w:r w:rsidR="009A6C7C">
        <w:t xml:space="preserve"> an eine Pinnwand kleben. So wird Selbstwirksamkeit sichtbar.</w:t>
      </w:r>
    </w:p>
    <w:p w14:paraId="25A349E0" w14:textId="0A9201C7" w:rsidR="009A6C7C" w:rsidRDefault="003255F3" w:rsidP="003255F3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 w:rsidR="009A6C7C">
        <w:t>Stärken sichtbar machen – Schülerinnen und Schüler ermutigen, eigene Kompetenzen wahrzunehmen.</w:t>
      </w:r>
    </w:p>
    <w:p w14:paraId="22B9EEB6" w14:textId="77777777" w:rsidR="003255F3" w:rsidRDefault="003255F3" w:rsidP="003255F3">
      <w:pPr>
        <w:ind w:left="340" w:hanging="340"/>
      </w:pPr>
    </w:p>
    <w:p w14:paraId="17D47F59" w14:textId="77777777" w:rsidR="003255F3" w:rsidRDefault="003255F3" w:rsidP="003255F3">
      <w:pPr>
        <w:pStyle w:val="ekvue3arial"/>
      </w:pPr>
      <w:r>
        <w:t>4. Verantwortung übertragen</w:t>
      </w:r>
    </w:p>
    <w:p w14:paraId="67C2E7F4" w14:textId="310FDE55" w:rsidR="003255F3" w:rsidRDefault="003255F3" w:rsidP="003255F3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>
        <w:t>Schülerrollen anbieten – Benutze ein festes Rollenkarten-Set (Moderator, Zeitmanager, Materialverantwortlicher). Jede Woche wechseln die Rollen, damit jede/r Verantwortung übernimmt.</w:t>
      </w:r>
    </w:p>
    <w:p w14:paraId="0A637EB3" w14:textId="752F765C" w:rsidR="003255F3" w:rsidRDefault="003255F3" w:rsidP="003255F3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>
        <w:t>Projekte eigenständig gestalten lassen – etwa kleine Gruppenaufgaben mit eigener Organisation.</w:t>
      </w:r>
    </w:p>
    <w:p w14:paraId="04143797" w14:textId="138D274F" w:rsidR="003255F3" w:rsidRDefault="003255F3" w:rsidP="003255F3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>
        <w:t>Partizipation zulassen – Lass bei der Planung einer Unterrichtsreihe die Klasse per Abstimmung entscheiden, welche Beispiele oder Projekte im Fokus stehen sollen (z. B. Fallbeispiele in Ethik oder historische Epochen in Geschichte).</w:t>
      </w:r>
    </w:p>
    <w:p w14:paraId="4082AC3C" w14:textId="77777777" w:rsidR="003255F3" w:rsidRDefault="003255F3" w:rsidP="003255F3">
      <w:pPr>
        <w:ind w:left="340" w:hanging="340"/>
      </w:pPr>
    </w:p>
    <w:p w14:paraId="4C70F921" w14:textId="1EA5BBC8" w:rsidR="003255F3" w:rsidRDefault="003255F3" w:rsidP="003255F3">
      <w:pPr>
        <w:pStyle w:val="ekvue3arial"/>
      </w:pPr>
      <w:r>
        <w:t xml:space="preserve">5. Umgang mit Notendruck </w:t>
      </w:r>
    </w:p>
    <w:p w14:paraId="7D42E395" w14:textId="3F247515" w:rsidR="003255F3" w:rsidRDefault="003255F3" w:rsidP="003255F3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Alternative Bewertungsformen nutzen – Führe ein Lernjournal ein, in dem Schülerinnen und Schüler wöchentlich in 3–4 Sätzen ihren Fortschritt dokumentieren. Dies kann in die Note einfließen oder als </w:t>
      </w:r>
      <w:r w:rsidR="006420FB">
        <w:br/>
      </w:r>
      <w:r>
        <w:t>Bonus berücksichtigt werden.</w:t>
      </w:r>
    </w:p>
    <w:p w14:paraId="0A21CDE2" w14:textId="569B904D" w:rsidR="003255F3" w:rsidRDefault="003255F3" w:rsidP="003255F3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>
        <w:t>Transparenz herstellen – Bewertungskriterien klar und fair kommunizieren.</w:t>
      </w:r>
    </w:p>
    <w:p w14:paraId="23A784FC" w14:textId="74AC89C2" w:rsidR="003255F3" w:rsidRDefault="003255F3" w:rsidP="003255F3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Stress entlasten – Plane jede Woche eine kurze ,Trainingsphase ohne Bewertung‘ ein, z. B. ein Zehn-Minuten-Quiz mit Selbstkontrolle, bei dem es keine Note gibt. So sinkt der Druck und der Lernfokus </w:t>
      </w:r>
      <w:r w:rsidR="006420FB">
        <w:br/>
      </w:r>
      <w:r>
        <w:t>bleibt erhalten.</w:t>
      </w:r>
    </w:p>
    <w:sectPr w:rsidR="003255F3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256B3" w14:textId="77777777" w:rsidR="009A6C7C" w:rsidRDefault="009A6C7C" w:rsidP="003C599D">
      <w:pPr>
        <w:spacing w:line="240" w:lineRule="auto"/>
      </w:pPr>
      <w:r>
        <w:separator/>
      </w:r>
    </w:p>
  </w:endnote>
  <w:endnote w:type="continuationSeparator" w:id="0">
    <w:p w14:paraId="573B6B64" w14:textId="77777777" w:rsidR="009A6C7C" w:rsidRDefault="009A6C7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18297CE" w14:textId="77777777" w:rsidTr="00503EE6">
      <w:trPr>
        <w:trHeight w:hRule="exact" w:val="680"/>
      </w:trPr>
      <w:tc>
        <w:tcPr>
          <w:tcW w:w="864" w:type="dxa"/>
          <w:noWrap/>
        </w:tcPr>
        <w:p w14:paraId="7251DF3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53F8E59" wp14:editId="6244C32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9ECE1A6" w14:textId="6F97BCF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3255F3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365C6FE" w14:textId="0E14764C" w:rsidR="002659C5" w:rsidRPr="00913892" w:rsidRDefault="00947DC8" w:rsidP="003255F3">
          <w:pPr>
            <w:pStyle w:val="ekvquelle"/>
          </w:pPr>
          <w:r>
            <w:t xml:space="preserve">Textquellen: </w:t>
          </w:r>
          <w:r w:rsidR="003255F3">
            <w:t>Stefan Lesser</w:t>
          </w:r>
        </w:p>
      </w:tc>
      <w:tc>
        <w:tcPr>
          <w:tcW w:w="813" w:type="dxa"/>
        </w:tcPr>
        <w:p w14:paraId="128FCB9A" w14:textId="77777777" w:rsidR="002659C5" w:rsidRPr="00913892" w:rsidRDefault="002659C5" w:rsidP="00913892">
          <w:pPr>
            <w:pStyle w:val="ekvpagina"/>
          </w:pPr>
        </w:p>
      </w:tc>
    </w:tr>
  </w:tbl>
  <w:p w14:paraId="7A0690E6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478B4" w14:textId="77777777" w:rsidR="009A6C7C" w:rsidRDefault="009A6C7C" w:rsidP="003C599D">
      <w:pPr>
        <w:spacing w:line="240" w:lineRule="auto"/>
      </w:pPr>
      <w:r>
        <w:separator/>
      </w:r>
    </w:p>
  </w:footnote>
  <w:footnote w:type="continuationSeparator" w:id="0">
    <w:p w14:paraId="30D4C120" w14:textId="77777777" w:rsidR="009A6C7C" w:rsidRDefault="009A6C7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9D95B3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563924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7EEDE7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D8878B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D4A7F4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3C07EB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90898C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0EDDC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28E0A4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E2E0F5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D60355F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7C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5F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29A0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20F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6C7C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B6F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615CB"/>
  <w15:chartTrackingRefBased/>
  <w15:docId w15:val="{76932D6D-8FE5-4804-BD1C-5D886836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2447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2025-09-25T11:30:00Z</dcterms:created>
  <dcterms:modified xsi:type="dcterms:W3CDTF">2025-09-25T11:30:00Z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