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2FBA6052" w14:textId="77777777" w:rsidR="007E2856" w:rsidRDefault="007E2856" w:rsidP="007E2856">
      <w:pPr>
        <w:pStyle w:val="ekvue2arial"/>
      </w:pPr>
      <w:r>
        <w:t>Heiligenverehrung II</w:t>
      </w:r>
    </w:p>
    <w:p w14:paraId="1C0DF193" w14:textId="77777777" w:rsidR="007E2856" w:rsidRDefault="007E2856" w:rsidP="007E2856"/>
    <w:p w14:paraId="76E86F28" w14:textId="3D14C1AB" w:rsidR="007E2856" w:rsidRDefault="009301CE" w:rsidP="009301CE">
      <w:pPr>
        <w:pStyle w:val="ekvbild"/>
      </w:pPr>
      <w:r>
        <w:rPr>
          <w:noProof/>
        </w:rPr>
        <w:drawing>
          <wp:inline distT="0" distB="0" distL="0" distR="0" wp14:anchorId="6056844D" wp14:editId="35CB8E63">
            <wp:extent cx="6727825" cy="4483290"/>
            <wp:effectExtent l="0" t="0" r="0" b="0"/>
            <wp:docPr id="846630460" name="Grafik 1" descr="REB-Unterricht-CRU-Heiligenverehrung-KV-2.png"/>
            <wp:cNvGraphicFramePr/>
            <a:graphic xmlns:a="http://schemas.openxmlformats.org/drawingml/2006/main">
              <a:graphicData uri="http://schemas.openxmlformats.org/drawingml/2006/picture">
                <pic:pic xmlns:pic="http://schemas.openxmlformats.org/drawingml/2006/picture">
                  <pic:nvPicPr>
                    <pic:cNvPr id="846630460" name="Grafik 1" descr="REB-Unterricht-CRU-Heiligenverehrung-KV-2.png"/>
                    <pic:cNvPicPr/>
                  </pic:nvPicPr>
                  <pic:blipFill rotWithShape="1">
                    <a:blip r:embed="rId7" cstate="print">
                      <a:extLst>
                        <a:ext uri="{28A0092B-C50C-407E-A947-70E740481C1C}">
                          <a14:useLocalDpi xmlns:a14="http://schemas.microsoft.com/office/drawing/2010/main" val="0"/>
                        </a:ext>
                      </a:extLst>
                    </a:blip>
                    <a:srcRect l="10526" t="13861" b="43974"/>
                    <a:stretch>
                      <a:fillRect/>
                    </a:stretch>
                  </pic:blipFill>
                  <pic:spPr bwMode="auto">
                    <a:xfrm>
                      <a:off x="0" y="0"/>
                      <a:ext cx="6728820" cy="4483953"/>
                    </a:xfrm>
                    <a:prstGeom prst="rect">
                      <a:avLst/>
                    </a:prstGeom>
                    <a:ln>
                      <a:noFill/>
                    </a:ln>
                    <a:extLst>
                      <a:ext uri="{53640926-AAD7-44D8-BBD7-CCE9431645EC}">
                        <a14:shadowObscured xmlns:a14="http://schemas.microsoft.com/office/drawing/2010/main"/>
                      </a:ext>
                    </a:extLst>
                  </pic:spPr>
                </pic:pic>
              </a:graphicData>
            </a:graphic>
          </wp:inline>
        </w:drawing>
      </w:r>
    </w:p>
    <w:p w14:paraId="2D8EBFD0" w14:textId="77777777" w:rsidR="009301CE" w:rsidRDefault="009301CE" w:rsidP="009301CE"/>
    <w:p w14:paraId="6CC044AA" w14:textId="77777777" w:rsidR="009301CE" w:rsidRPr="0031132C" w:rsidRDefault="009301CE" w:rsidP="009301CE">
      <w:pPr>
        <w:pStyle w:val="ekvbild"/>
      </w:pPr>
    </w:p>
    <w:p w14:paraId="60275F68" w14:textId="32A4B2FB" w:rsidR="007E2856" w:rsidRDefault="007E2856" w:rsidP="007E2856">
      <w:r w:rsidRPr="009221F9">
        <w:rPr>
          <w:rStyle w:val="ekvfett"/>
        </w:rPr>
        <w:t>Aufgaben</w:t>
      </w:r>
    </w:p>
    <w:p w14:paraId="6183FA0A" w14:textId="4A37A098" w:rsidR="007E2856" w:rsidRDefault="007E2856" w:rsidP="007E2856">
      <w:pPr>
        <w:pStyle w:val="ekvaufzhlung"/>
      </w:pPr>
      <w:r>
        <w:t>1.</w:t>
      </w:r>
      <w:r>
        <w:tab/>
        <w:t xml:space="preserve">Vergleichen Sie Luthers Begründung für seine Ablehnung der Heiligenverehrung mit der, die fast </w:t>
      </w:r>
      <w:r w:rsidR="00A655D4">
        <w:t>500</w:t>
      </w:r>
      <w:r>
        <w:t xml:space="preserve"> Jahre später auf der Website katholisch.de nachzulesen ist.</w:t>
      </w:r>
    </w:p>
    <w:p w14:paraId="76413F36" w14:textId="77777777" w:rsidR="00844F87" w:rsidRDefault="007E2856" w:rsidP="00844F87">
      <w:pPr>
        <w:pStyle w:val="ekvaufzhlung"/>
      </w:pPr>
      <w:r>
        <w:t>2.</w:t>
      </w:r>
      <w:r>
        <w:tab/>
        <w:t>Erkundigen Sie sich bei katholischen Verwandten oder Mitschülerinnen und Mitschülern, ob sie der Aussage zustimmen würden, dass heute im Alltag katholischer Christinnen und Christen Heiligenverehrung „kaum noch eine Rolle“ spielt.</w:t>
      </w:r>
    </w:p>
    <w:p w14:paraId="2C3F28CD" w14:textId="5318CED8" w:rsidR="00844F87" w:rsidRPr="000E200F" w:rsidRDefault="00844F87" w:rsidP="007E2856">
      <w:pPr>
        <w:pStyle w:val="ekvaufzhlung"/>
      </w:pPr>
      <w:r>
        <w:t>3.</w:t>
      </w:r>
      <w:r>
        <w:tab/>
      </w:r>
      <w:r w:rsidRPr="00844F87">
        <w:t>Der Fan-Kult mancher Fußballvereine entspricht oftmals nicht (mehr) dem, was diese Vereine sich von ihren Fans wünschen. Sie versuchen, dem mit einem Regelwerk für ihre Fußballstadien entgegenzuwirken. Recherchieren Sie die geltende „Stadionordnung“ für ein Fußballstadion in Ihrer Nähe. Nehmen Sie begründet Stellung, inwiefern die Maßnahmen gegen Auswüchse der Heiligenverehrung und gegen Auswüchse im Fan-Kult beim Fußball vergleichbar sind.</w:t>
      </w:r>
    </w:p>
    <w:sectPr w:rsidR="00844F87" w:rsidRPr="000E200F"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C4814" w14:textId="77777777" w:rsidR="00D0634D" w:rsidRDefault="00D0634D" w:rsidP="003C599D">
      <w:pPr>
        <w:spacing w:line="240" w:lineRule="auto"/>
      </w:pPr>
      <w:r>
        <w:separator/>
      </w:r>
    </w:p>
  </w:endnote>
  <w:endnote w:type="continuationSeparator" w:id="0">
    <w:p w14:paraId="49BAE384" w14:textId="77777777" w:rsidR="00D0634D" w:rsidRDefault="00D0634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DBB26F0" w14:textId="77777777" w:rsidTr="00503EE6">
      <w:trPr>
        <w:trHeight w:hRule="exact" w:val="680"/>
      </w:trPr>
      <w:tc>
        <w:tcPr>
          <w:tcW w:w="864" w:type="dxa"/>
          <w:noWrap/>
        </w:tcPr>
        <w:p w14:paraId="5856C37B" w14:textId="77777777" w:rsidR="002659C5" w:rsidRPr="00913892" w:rsidRDefault="002659C5" w:rsidP="005E4C30">
          <w:pPr>
            <w:pStyle w:val="ekvpaginabild"/>
            <w:jc w:val="both"/>
          </w:pPr>
          <w:r w:rsidRPr="00913892">
            <w:rPr>
              <w:noProof/>
              <w:lang w:eastAsia="de-DE"/>
            </w:rPr>
            <w:drawing>
              <wp:inline distT="0" distB="0" distL="0" distR="0" wp14:anchorId="3A583BAE" wp14:editId="65F65CCC">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3963435" w14:textId="302241C2" w:rsidR="002659C5" w:rsidRPr="00913892" w:rsidRDefault="002659C5" w:rsidP="00503EE6">
          <w:pPr>
            <w:pStyle w:val="ekvpagina"/>
          </w:pPr>
          <w:r w:rsidRPr="00913892">
            <w:t xml:space="preserve">© Ernst Klett Verlag GmbH, </w:t>
          </w:r>
          <w:r w:rsidR="00CF40E8">
            <w:t>Stuttgart 20</w:t>
          </w:r>
          <w:r w:rsidR="007E2856">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A9A6D3F" w14:textId="419B6DB4" w:rsidR="002659C5" w:rsidRDefault="000E200F" w:rsidP="000E200F">
          <w:pPr>
            <w:pStyle w:val="ekvquelle"/>
          </w:pPr>
          <w:r w:rsidRPr="000E200F">
            <w:rPr>
              <w:rStyle w:val="ekvquellefett"/>
            </w:rPr>
            <w:t>Text:</w:t>
          </w:r>
          <w:r>
            <w:t xml:space="preserve"> </w:t>
          </w:r>
          <w:r w:rsidR="007E2856">
            <w:t>Bärbel Husmann (Autorin);</w:t>
          </w:r>
          <w:r w:rsidR="0031132C">
            <w:t xml:space="preserve"> </w:t>
          </w:r>
          <w:r w:rsidR="0031132C" w:rsidRPr="0031132C">
            <w:t>Martin Luther: Großer Katechismus (1529). Der erste Teil. Die Zehn Gebote. Das erste Gebot. Aus: Luther Deutsch. Die Werke Martin Luthers in neuer Auswahl für die Gegenwart, Bd. 3: Der Neue Glaube. Hrsg. v. Kurt Aland. Vandenhoeck &amp; Ruprecht Göttingen 1961, S. 21f. (Rechtschreibung angepasst)</w:t>
          </w:r>
          <w:r w:rsidR="0031132C">
            <w:t xml:space="preserve">; </w:t>
          </w:r>
          <w:r w:rsidR="0031132C" w:rsidRPr="0031132C">
            <w:t>Unsere Vorbilder. Die Heiligen der katholischen Kirche. Unter: https://www.katholisch.de/heilige (Zugriff 17.11.2025, gek.)</w:t>
          </w:r>
        </w:p>
        <w:p w14:paraId="12DD64E9" w14:textId="5606492F" w:rsidR="007E2856" w:rsidRPr="00913892" w:rsidRDefault="007E2856" w:rsidP="000E200F">
          <w:pPr>
            <w:pStyle w:val="ekvquelle"/>
          </w:pPr>
        </w:p>
      </w:tc>
      <w:tc>
        <w:tcPr>
          <w:tcW w:w="813" w:type="dxa"/>
        </w:tcPr>
        <w:p w14:paraId="5275012E" w14:textId="77777777" w:rsidR="002659C5" w:rsidRPr="00913892" w:rsidRDefault="002659C5" w:rsidP="00913892">
          <w:pPr>
            <w:pStyle w:val="ekvpagina"/>
          </w:pPr>
        </w:p>
      </w:tc>
    </w:tr>
  </w:tbl>
  <w:p w14:paraId="3FD1AE3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604C" w14:textId="77777777" w:rsidR="00D0634D" w:rsidRDefault="00D0634D" w:rsidP="003C599D">
      <w:pPr>
        <w:spacing w:line="240" w:lineRule="auto"/>
      </w:pPr>
      <w:r>
        <w:separator/>
      </w:r>
    </w:p>
  </w:footnote>
  <w:footnote w:type="continuationSeparator" w:id="0">
    <w:p w14:paraId="53DFEB75" w14:textId="77777777" w:rsidR="00D0634D" w:rsidRDefault="00D0634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2D47199" w14:textId="77777777" w:rsidTr="00431E62">
      <w:trPr>
        <w:trHeight w:hRule="exact" w:val="510"/>
      </w:trPr>
      <w:tc>
        <w:tcPr>
          <w:tcW w:w="818" w:type="dxa"/>
          <w:tcBorders>
            <w:top w:val="nil"/>
            <w:bottom w:val="nil"/>
            <w:right w:val="nil"/>
          </w:tcBorders>
          <w:noWrap/>
          <w:vAlign w:val="bottom"/>
        </w:tcPr>
        <w:p w14:paraId="34C04555" w14:textId="77777777" w:rsidR="00901B13" w:rsidRPr="00AE65F6" w:rsidRDefault="00901B13" w:rsidP="00901B13"/>
      </w:tc>
      <w:tc>
        <w:tcPr>
          <w:tcW w:w="3856" w:type="dxa"/>
          <w:tcBorders>
            <w:top w:val="nil"/>
            <w:left w:val="nil"/>
            <w:bottom w:val="nil"/>
            <w:right w:val="nil"/>
          </w:tcBorders>
          <w:noWrap/>
          <w:vAlign w:val="bottom"/>
        </w:tcPr>
        <w:p w14:paraId="4F30A85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8B60E7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B56637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C32C3D1" w14:textId="77777777" w:rsidR="00901B13" w:rsidRPr="007C1230" w:rsidRDefault="00901B13" w:rsidP="00901B13">
          <w:pPr>
            <w:pStyle w:val="ekvkvnummer"/>
          </w:pPr>
        </w:p>
      </w:tc>
      <w:tc>
        <w:tcPr>
          <w:tcW w:w="883" w:type="dxa"/>
          <w:tcBorders>
            <w:top w:val="nil"/>
            <w:left w:val="nil"/>
            <w:bottom w:val="nil"/>
          </w:tcBorders>
          <w:noWrap/>
          <w:vAlign w:val="bottom"/>
        </w:tcPr>
        <w:p w14:paraId="228EFEDF" w14:textId="77777777" w:rsidR="00901B13" w:rsidRPr="007636A0" w:rsidRDefault="00901B13" w:rsidP="00901B13">
          <w:pPr>
            <w:pStyle w:val="ekvkapitel"/>
            <w:rPr>
              <w:color w:val="FFFFFF" w:themeColor="background1"/>
            </w:rPr>
          </w:pPr>
        </w:p>
      </w:tc>
    </w:tr>
    <w:tr w:rsidR="00901B13" w:rsidRPr="00BF17F2" w14:paraId="2306AD8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B16EA7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92D1EE3" w14:textId="77777777" w:rsidR="00901B13" w:rsidRPr="00BF17F2" w:rsidRDefault="00901B13" w:rsidP="00901B13">
          <w:pPr>
            <w:rPr>
              <w:color w:val="FFFFFF" w:themeColor="background1"/>
            </w:rPr>
          </w:pPr>
        </w:p>
      </w:tc>
    </w:tr>
  </w:tbl>
  <w:p w14:paraId="523BDD52"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04CE7"/>
    <w:multiLevelType w:val="hybridMultilevel"/>
    <w:tmpl w:val="198092A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num w:numId="1" w16cid:durableId="535705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56"/>
    <w:rsid w:val="000040E2"/>
    <w:rsid w:val="0001210D"/>
    <w:rsid w:val="00014D7E"/>
    <w:rsid w:val="0002009E"/>
    <w:rsid w:val="00020440"/>
    <w:rsid w:val="000307B4"/>
    <w:rsid w:val="00030EDB"/>
    <w:rsid w:val="000317DC"/>
    <w:rsid w:val="00035074"/>
    <w:rsid w:val="00037566"/>
    <w:rsid w:val="0004126B"/>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6BA4"/>
    <w:rsid w:val="000F7910"/>
    <w:rsid w:val="00103057"/>
    <w:rsid w:val="00107D77"/>
    <w:rsid w:val="001161C6"/>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132C"/>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47BA"/>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18AB"/>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2856"/>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4F87"/>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21F9"/>
    <w:rsid w:val="00926C5B"/>
    <w:rsid w:val="009301CE"/>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B4FDB"/>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4B46"/>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655D4"/>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0634D"/>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4328"/>
    <w:rsid w:val="00F459EB"/>
    <w:rsid w:val="00F52C9C"/>
    <w:rsid w:val="00F55BE1"/>
    <w:rsid w:val="00F62F76"/>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B8EFE"/>
  <w15:chartTrackingRefBased/>
  <w15:docId w15:val="{F2857DA5-1E65-4171-B6DF-C4702FCF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A655D4"/>
    <w:rPr>
      <w:color w:val="0563C1" w:themeColor="hyperlink"/>
      <w:u w:val="single"/>
    </w:rPr>
  </w:style>
  <w:style w:type="character" w:styleId="NichtaufgelsteErwhnung">
    <w:name w:val="Unresolved Mention"/>
    <w:basedOn w:val="Absatz-Standardschriftart"/>
    <w:uiPriority w:val="99"/>
    <w:semiHidden/>
    <w:unhideWhenUsed/>
    <w:rsid w:val="00A65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161311395">
      <w:bodyDiv w:val="1"/>
      <w:marLeft w:val="0"/>
      <w:marRight w:val="0"/>
      <w:marTop w:val="0"/>
      <w:marBottom w:val="0"/>
      <w:divBdr>
        <w:top w:val="none" w:sz="0" w:space="0" w:color="auto"/>
        <w:left w:val="none" w:sz="0" w:space="0" w:color="auto"/>
        <w:bottom w:val="none" w:sz="0" w:space="0" w:color="auto"/>
        <w:right w:val="none" w:sz="0" w:space="0" w:color="auto"/>
      </w:divBdr>
    </w:div>
    <w:div w:id="204559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759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2025-11-18T13:39:00Z</dcterms:created>
  <dcterms:modified xsi:type="dcterms:W3CDTF">2025-11-18T13:39:00Z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