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58E7D" w14:textId="135DA78F" w:rsidR="00901B13" w:rsidRDefault="000A1644" w:rsidP="000A1644">
      <w:pPr>
        <w:pStyle w:val="ekvue2arial"/>
      </w:pPr>
      <w:r>
        <w:t>Material Phase 3: Positionstexte</w:t>
      </w:r>
    </w:p>
    <w:p w14:paraId="7D21B664" w14:textId="77777777" w:rsidR="000A1644" w:rsidRDefault="000A1644" w:rsidP="000A1644">
      <w:pPr>
        <w:pStyle w:val="ekvue2arial"/>
      </w:pPr>
    </w:p>
    <w:tbl>
      <w:tblPr>
        <w:tblW w:w="9356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9356"/>
      </w:tblGrid>
      <w:tr w:rsidR="00197ABF" w:rsidRPr="002D0AE2" w14:paraId="242E2A5C" w14:textId="77777777" w:rsidTr="002D0AE2">
        <w:trPr>
          <w:trHeight w:val="28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1B472C" w14:textId="77777777" w:rsidR="00197ABF" w:rsidRPr="002D0AE2" w:rsidRDefault="00197ABF" w:rsidP="002D0AE2">
            <w:pPr>
              <w:rPr>
                <w:rStyle w:val="ekvfett"/>
              </w:rPr>
            </w:pPr>
            <w:r w:rsidRPr="002D0AE2">
              <w:rPr>
                <w:rStyle w:val="ekvfett"/>
              </w:rPr>
              <w:t>Positionstext A (Landesgesetz verbindlich)</w:t>
            </w:r>
          </w:p>
          <w:p w14:paraId="7697B57A" w14:textId="77777777" w:rsidR="004A1544" w:rsidRPr="002D0AE2" w:rsidRDefault="004A1544" w:rsidP="002D0AE2"/>
          <w:p w14:paraId="57864A02" w14:textId="77777777" w:rsidR="00197ABF" w:rsidRPr="002D0AE2" w:rsidRDefault="00197ABF" w:rsidP="002D0AE2">
            <w:pPr>
              <w:pStyle w:val="ekvaufzhlung"/>
            </w:pPr>
            <w:r w:rsidRPr="002D0AE2">
              <w:sym w:font="Wingdings" w:char="F06C"/>
            </w:r>
            <w:r w:rsidRPr="002D0AE2">
              <w:tab/>
              <w:t>These: Das Bundesland soll ein Triage-Gesetz erlassen, das zulässige Kriterien, Verfahren und Schutzmechanismen verbindlich festlegt.</w:t>
            </w:r>
          </w:p>
          <w:p w14:paraId="55D22590" w14:textId="77777777" w:rsidR="00197ABF" w:rsidRPr="002D0AE2" w:rsidRDefault="00197ABF" w:rsidP="002D0AE2">
            <w:pPr>
              <w:pStyle w:val="ekvaufzhlung"/>
            </w:pPr>
            <w:r w:rsidRPr="002D0AE2">
              <w:sym w:font="Wingdings" w:char="F06C"/>
            </w:r>
            <w:r w:rsidRPr="002D0AE2">
              <w:tab/>
              <w:t>Begründung:</w:t>
            </w:r>
          </w:p>
          <w:p w14:paraId="79F7E24C" w14:textId="77777777" w:rsidR="00197ABF" w:rsidRPr="002D0AE2" w:rsidRDefault="00197ABF" w:rsidP="002D0AE2">
            <w:pPr>
              <w:pStyle w:val="ekvaufzhlung1"/>
              <w:numPr>
                <w:ilvl w:val="0"/>
                <w:numId w:val="18"/>
              </w:numPr>
            </w:pPr>
            <w:r w:rsidRPr="002D0AE2">
              <w:t>Rechtssicherheit: Nach dem Urteil vom 04.11.2025 gibt es keine einheitliche Bundesregel. Ein Landesgesetz schließt Lücken und sichert Gleichbehandlung.</w:t>
            </w:r>
          </w:p>
          <w:p w14:paraId="35B16769" w14:textId="77777777" w:rsidR="00197ABF" w:rsidRPr="002D0AE2" w:rsidRDefault="00197ABF" w:rsidP="002D0AE2">
            <w:pPr>
              <w:pStyle w:val="ekvaufzhlung1"/>
              <w:numPr>
                <w:ilvl w:val="0"/>
                <w:numId w:val="18"/>
              </w:numPr>
            </w:pPr>
            <w:r w:rsidRPr="002D0AE2">
              <w:t>Grundrechte operationalisieren: Art. 1 (Menschenwürde) und Art. 3 (Gleichheit) werden in klare Handlungsanweisungen übersetzt (Ausschluss unzulässiger Kriterien, Dokumentationspflicht).</w:t>
            </w:r>
          </w:p>
          <w:p w14:paraId="71D8ECE6" w14:textId="77777777" w:rsidR="00197ABF" w:rsidRPr="002D0AE2" w:rsidRDefault="00197ABF" w:rsidP="002D0AE2">
            <w:pPr>
              <w:pStyle w:val="ekvaufzhlung1"/>
              <w:numPr>
                <w:ilvl w:val="0"/>
                <w:numId w:val="18"/>
              </w:numPr>
            </w:pPr>
            <w:r w:rsidRPr="002D0AE2">
              <w:t>Einheitliche Standards: Verhindert regionale Unterschiede („Klinik-Lotterie“) und schützt vulnerable Gruppen.</w:t>
            </w:r>
          </w:p>
          <w:p w14:paraId="566820A4" w14:textId="77777777" w:rsidR="002D0AE2" w:rsidRDefault="00197ABF" w:rsidP="002D0AE2">
            <w:pPr>
              <w:pStyle w:val="ekvaufzhlung1"/>
              <w:numPr>
                <w:ilvl w:val="0"/>
                <w:numId w:val="18"/>
              </w:numPr>
            </w:pPr>
            <w:r w:rsidRPr="002D0AE2">
              <w:t xml:space="preserve">Entlastung der Praxis: Vorgaben wie Re-Evaluation (z. B. 24–48 Stunden), Vier-Augen-Prinzip </w:t>
            </w:r>
          </w:p>
          <w:p w14:paraId="2A0537E1" w14:textId="7CBC146A" w:rsidR="00197ABF" w:rsidRPr="002D0AE2" w:rsidRDefault="00197ABF" w:rsidP="002D0AE2">
            <w:pPr>
              <w:pStyle w:val="ekvaufzhlung1"/>
              <w:ind w:left="720"/>
            </w:pPr>
            <w:r w:rsidRPr="002D0AE2">
              <w:t>und Einbindung eines Ethikboards unterstützen Ärztinnen und Ärzte.</w:t>
            </w:r>
          </w:p>
          <w:p w14:paraId="253D8430" w14:textId="77777777" w:rsidR="00197ABF" w:rsidRPr="002D0AE2" w:rsidRDefault="00197ABF" w:rsidP="002D0AE2">
            <w:pPr>
              <w:pStyle w:val="ekvaufzhlung1"/>
              <w:numPr>
                <w:ilvl w:val="0"/>
                <w:numId w:val="18"/>
              </w:numPr>
            </w:pPr>
            <w:r w:rsidRPr="002D0AE2">
              <w:t>Ethische Stütze: Rawls (faire, allgemein akzeptable Regeln), Kant (Würde als harte Grenze).</w:t>
            </w:r>
          </w:p>
          <w:p w14:paraId="4404E9EC" w14:textId="77777777" w:rsidR="00197ABF" w:rsidRPr="002D0AE2" w:rsidRDefault="00197ABF" w:rsidP="002D0AE2">
            <w:pPr>
              <w:pStyle w:val="ekvaufzhlung"/>
            </w:pPr>
            <w:r w:rsidRPr="002D0AE2">
              <w:sym w:font="Wingdings" w:char="F06C"/>
            </w:r>
            <w:r w:rsidRPr="002D0AE2">
              <w:tab/>
              <w:t>Einwand und Antwort:</w:t>
            </w:r>
          </w:p>
          <w:p w14:paraId="0B8EDD54" w14:textId="77777777" w:rsidR="00197ABF" w:rsidRPr="002D0AE2" w:rsidRDefault="00197ABF" w:rsidP="002D0AE2">
            <w:pPr>
              <w:pStyle w:val="ekvaufzhlung1"/>
              <w:numPr>
                <w:ilvl w:val="0"/>
                <w:numId w:val="20"/>
              </w:numPr>
            </w:pPr>
            <w:r w:rsidRPr="002D0AE2">
              <w:t>Einwand: Starre Regeln sind medizinisch unflexibel.</w:t>
            </w:r>
          </w:p>
          <w:p w14:paraId="72EDB463" w14:textId="5F26C9BF" w:rsidR="002D0AE2" w:rsidRPr="002D0AE2" w:rsidRDefault="00197ABF" w:rsidP="002D0AE2">
            <w:pPr>
              <w:pStyle w:val="ekvaufzhlung1"/>
              <w:numPr>
                <w:ilvl w:val="0"/>
                <w:numId w:val="20"/>
              </w:numPr>
            </w:pPr>
            <w:r w:rsidRPr="002D0AE2">
              <w:t>Antwort: Gesetz mit Spielräumen, dynamischem Verweis auf aktuelle Leitlinien, Ausnahmeklauseln mit Begründungspflicht.</w:t>
            </w:r>
            <w:r w:rsidR="002D0AE2">
              <w:br/>
            </w:r>
          </w:p>
        </w:tc>
      </w:tr>
      <w:tr w:rsidR="00197ABF" w:rsidRPr="002D0AE2" w14:paraId="39D85CCA" w14:textId="77777777" w:rsidTr="002D0AE2">
        <w:trPr>
          <w:trHeight w:val="284"/>
        </w:trPr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18C721DB" w14:textId="77777777" w:rsidR="00197ABF" w:rsidRPr="002D0AE2" w:rsidRDefault="00197ABF" w:rsidP="002D0AE2"/>
          <w:p w14:paraId="5378A007" w14:textId="77777777" w:rsidR="004A1544" w:rsidRPr="002D0AE2" w:rsidRDefault="004A1544" w:rsidP="002D0AE2"/>
          <w:p w14:paraId="1A1BDC1F" w14:textId="77777777" w:rsidR="004A1544" w:rsidRPr="002D0AE2" w:rsidRDefault="004A1544" w:rsidP="002D0AE2"/>
        </w:tc>
      </w:tr>
      <w:tr w:rsidR="00197ABF" w:rsidRPr="002D0AE2" w14:paraId="2BAFD52C" w14:textId="77777777" w:rsidTr="002D0AE2">
        <w:trPr>
          <w:trHeight w:val="28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333333"/>
              <w:right w:val="single" w:sz="4" w:space="0" w:color="auto"/>
            </w:tcBorders>
          </w:tcPr>
          <w:p w14:paraId="2D12AA90" w14:textId="77777777" w:rsidR="00197ABF" w:rsidRPr="002D0AE2" w:rsidRDefault="00197ABF" w:rsidP="002D0AE2">
            <w:pPr>
              <w:rPr>
                <w:rStyle w:val="ekvfett"/>
              </w:rPr>
            </w:pPr>
            <w:r w:rsidRPr="002D0AE2">
              <w:rPr>
                <w:rStyle w:val="ekvfett"/>
              </w:rPr>
              <w:t>Positionstext B (Klinikautonomie mit Leitlinienbindung)</w:t>
            </w:r>
          </w:p>
          <w:p w14:paraId="43C0E1DB" w14:textId="77777777" w:rsidR="004A1544" w:rsidRPr="002D0AE2" w:rsidRDefault="004A1544" w:rsidP="002D0AE2"/>
          <w:p w14:paraId="40261B79" w14:textId="77777777" w:rsidR="00197ABF" w:rsidRPr="002D0AE2" w:rsidRDefault="00197ABF" w:rsidP="002D0AE2">
            <w:pPr>
              <w:pStyle w:val="ekvaufzhlung"/>
            </w:pPr>
            <w:r w:rsidRPr="002D0AE2">
              <w:sym w:font="Wingdings" w:char="F06C"/>
            </w:r>
            <w:r w:rsidRPr="002D0AE2">
              <w:tab/>
              <w:t>These: Kliniken sollen auf Basis der Grundrechte und anerkannter Leitlinien (z. B. DIVI) eigenverantwortlich entscheiden – ohne starres Landesgesetz.</w:t>
            </w:r>
          </w:p>
          <w:p w14:paraId="10F8BD89" w14:textId="77777777" w:rsidR="00197ABF" w:rsidRPr="002D0AE2" w:rsidRDefault="00197ABF" w:rsidP="002D0AE2">
            <w:pPr>
              <w:pStyle w:val="ekvaufzhlung"/>
            </w:pPr>
            <w:r w:rsidRPr="002D0AE2">
              <w:sym w:font="Wingdings" w:char="F06C"/>
            </w:r>
            <w:r w:rsidRPr="002D0AE2">
              <w:tab/>
              <w:t>Begründung:</w:t>
            </w:r>
          </w:p>
          <w:p w14:paraId="318BFCAC" w14:textId="12EF2DC8" w:rsidR="00197ABF" w:rsidRPr="002D0AE2" w:rsidRDefault="00197ABF" w:rsidP="002D0AE2">
            <w:pPr>
              <w:pStyle w:val="ekvaufzhlung1"/>
              <w:numPr>
                <w:ilvl w:val="0"/>
                <w:numId w:val="21"/>
              </w:numPr>
            </w:pPr>
            <w:r w:rsidRPr="002D0AE2">
              <w:t xml:space="preserve">Medizinische Dynamik: Situationen sind hochvariabel; flexible Leitlinien sind näher an der Praxis </w:t>
            </w:r>
            <w:r w:rsidR="002D0AE2">
              <w:br/>
            </w:r>
            <w:r w:rsidRPr="002D0AE2">
              <w:t>als starre Gesetze.</w:t>
            </w:r>
          </w:p>
          <w:p w14:paraId="62692C66" w14:textId="77777777" w:rsidR="00197ABF" w:rsidRPr="002D0AE2" w:rsidRDefault="00197ABF" w:rsidP="002D0AE2">
            <w:pPr>
              <w:pStyle w:val="ekvaufzhlung1"/>
              <w:numPr>
                <w:ilvl w:val="0"/>
                <w:numId w:val="21"/>
              </w:numPr>
            </w:pPr>
            <w:r w:rsidRPr="002D0AE2">
              <w:t>Grundrechte binden ausreichend: Art. 1/3 GG setzen klare Grenzen; interne Ethikstrukturen sichern Fairness.</w:t>
            </w:r>
          </w:p>
          <w:p w14:paraId="77D91DB1" w14:textId="77777777" w:rsidR="00197ABF" w:rsidRPr="002D0AE2" w:rsidRDefault="00197ABF" w:rsidP="002D0AE2">
            <w:pPr>
              <w:pStyle w:val="ekvaufzhlung1"/>
              <w:numPr>
                <w:ilvl w:val="0"/>
                <w:numId w:val="21"/>
              </w:numPr>
            </w:pPr>
            <w:r w:rsidRPr="002D0AE2">
              <w:t>Umsetzungstauglichkeit: Kliniken können Verfahren (Dokumentation, Re-Evaluation, Ethikboard) rasch implementieren; weniger Bürokratie, mehr Fokus auf Patientinnen und Patienten.</w:t>
            </w:r>
          </w:p>
          <w:p w14:paraId="5F550AEE" w14:textId="77777777" w:rsidR="00197ABF" w:rsidRPr="002D0AE2" w:rsidRDefault="00197ABF" w:rsidP="002D0AE2">
            <w:pPr>
              <w:pStyle w:val="ekvaufzhlung1"/>
              <w:numPr>
                <w:ilvl w:val="0"/>
                <w:numId w:val="21"/>
              </w:numPr>
            </w:pPr>
            <w:r w:rsidRPr="002D0AE2">
              <w:t>Ethische Stütze: Care/</w:t>
            </w:r>
            <w:proofErr w:type="spellStart"/>
            <w:r w:rsidRPr="002D0AE2">
              <w:t>Principlism</w:t>
            </w:r>
            <w:proofErr w:type="spellEnd"/>
            <w:r w:rsidRPr="002D0AE2">
              <w:t xml:space="preserve"> (Nicht-Schaden, Wohltun, Gerechtigkeit, Autonomie) plus Utilitarismus (akute Erfolgsaussicht – ohne Diskriminierung).</w:t>
            </w:r>
          </w:p>
          <w:p w14:paraId="5C914193" w14:textId="77777777" w:rsidR="00197ABF" w:rsidRPr="002D0AE2" w:rsidRDefault="00197ABF" w:rsidP="002D0AE2">
            <w:pPr>
              <w:pStyle w:val="ekvaufzhlung"/>
            </w:pPr>
            <w:r w:rsidRPr="002D0AE2">
              <w:sym w:font="Wingdings" w:char="F06C"/>
            </w:r>
            <w:r w:rsidRPr="002D0AE2">
              <w:tab/>
              <w:t>Einwand und Antwort:</w:t>
            </w:r>
          </w:p>
          <w:p w14:paraId="4B8D7A92" w14:textId="77777777" w:rsidR="00197ABF" w:rsidRPr="002D0AE2" w:rsidRDefault="00197ABF" w:rsidP="002D0AE2">
            <w:pPr>
              <w:pStyle w:val="ekvaufzhlung1"/>
              <w:numPr>
                <w:ilvl w:val="0"/>
                <w:numId w:val="22"/>
              </w:numPr>
            </w:pPr>
            <w:r w:rsidRPr="002D0AE2">
              <w:t>Einwand: Gefahr ungleicher Standards („Klinik-Lotterie“).</w:t>
            </w:r>
          </w:p>
          <w:p w14:paraId="3C6C8ED2" w14:textId="4FAC1C6B" w:rsidR="00197ABF" w:rsidRPr="002D0AE2" w:rsidRDefault="00197ABF" w:rsidP="002D0AE2">
            <w:pPr>
              <w:pStyle w:val="ekvaufzhlung1"/>
              <w:numPr>
                <w:ilvl w:val="0"/>
                <w:numId w:val="22"/>
              </w:numPr>
            </w:pPr>
            <w:r w:rsidRPr="002D0AE2">
              <w:t>Antwort: Landesweite Mindeststandards per Erlass, verpflichtende Audits und Qualitätsindikatoren, Berichtspflichten statt Gesetz.</w:t>
            </w:r>
            <w:r w:rsidR="002D0AE2">
              <w:br/>
            </w:r>
          </w:p>
        </w:tc>
      </w:tr>
    </w:tbl>
    <w:p w14:paraId="39962D43" w14:textId="77777777" w:rsidR="00197ABF" w:rsidRDefault="00197ABF" w:rsidP="000A1644">
      <w:pPr>
        <w:pStyle w:val="ekvue2arial"/>
      </w:pPr>
    </w:p>
    <w:p w14:paraId="0113E2BA" w14:textId="77777777" w:rsidR="00197ABF" w:rsidRDefault="00197ABF" w:rsidP="000A1644">
      <w:pPr>
        <w:pStyle w:val="ekvue2arial"/>
      </w:pPr>
    </w:p>
    <w:p w14:paraId="4ACC96F1" w14:textId="77777777" w:rsidR="00197ABF" w:rsidRDefault="00197ABF" w:rsidP="000A1644"/>
    <w:p w14:paraId="02DBDA33" w14:textId="77777777" w:rsidR="000A1644" w:rsidRDefault="000A1644" w:rsidP="000A1644"/>
    <w:p w14:paraId="5FCF45CF" w14:textId="38929820" w:rsidR="000A1644" w:rsidRDefault="000A1644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b/>
          <w:sz w:val="27"/>
        </w:rPr>
      </w:pPr>
      <w:r>
        <w:br w:type="page"/>
      </w:r>
    </w:p>
    <w:p w14:paraId="6AE2C4F6" w14:textId="7083B333" w:rsidR="000A1644" w:rsidRDefault="000A1644" w:rsidP="000A1644">
      <w:pPr>
        <w:pStyle w:val="ekvue2arial"/>
      </w:pPr>
      <w:r>
        <w:lastRenderedPageBreak/>
        <w:t>Material Phase 3: Evidenzkarten (Kurzinfos)</w:t>
      </w:r>
    </w:p>
    <w:p w14:paraId="2B20340B" w14:textId="77777777" w:rsidR="000A1644" w:rsidRDefault="000A1644" w:rsidP="000A1644">
      <w:pPr>
        <w:pStyle w:val="ekvue2arial"/>
      </w:pPr>
    </w:p>
    <w:tbl>
      <w:tblPr>
        <w:tblW w:w="8789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4394"/>
        <w:gridCol w:w="4395"/>
      </w:tblGrid>
      <w:tr w:rsidR="00002E09" w:rsidRPr="002D0AE2" w14:paraId="54C997F1" w14:textId="77777777" w:rsidTr="00277EB8">
        <w:trPr>
          <w:trHeight w:val="3048"/>
        </w:trPr>
        <w:tc>
          <w:tcPr>
            <w:tcW w:w="4394" w:type="dxa"/>
            <w:tcBorders>
              <w:bottom w:val="single" w:sz="4" w:space="0" w:color="333333"/>
            </w:tcBorders>
            <w:shd w:val="clear" w:color="auto" w:fill="BDD6EE" w:themeFill="accent1" w:themeFillTint="66"/>
          </w:tcPr>
          <w:p w14:paraId="1B5EED58" w14:textId="77777777" w:rsidR="002D0AE2" w:rsidRDefault="002D0AE2" w:rsidP="002D0AE2">
            <w:pPr>
              <w:rPr>
                <w:rStyle w:val="ekvfett"/>
              </w:rPr>
            </w:pPr>
          </w:p>
          <w:p w14:paraId="12E44871" w14:textId="31F19146" w:rsidR="00002E09" w:rsidRPr="002D0AE2" w:rsidRDefault="00002E09" w:rsidP="002D0AE2">
            <w:pPr>
              <w:rPr>
                <w:rStyle w:val="ekvfett"/>
              </w:rPr>
            </w:pPr>
            <w:r w:rsidRPr="002D0AE2">
              <w:rPr>
                <w:rStyle w:val="ekvfett"/>
              </w:rPr>
              <w:t>Grundrechte:</w:t>
            </w:r>
          </w:p>
          <w:p w14:paraId="13379E72" w14:textId="77777777" w:rsidR="00002E09" w:rsidRPr="002D0AE2" w:rsidRDefault="00002E09" w:rsidP="002D0AE2"/>
          <w:p w14:paraId="5ABBC5F4" w14:textId="0E37C27B" w:rsidR="00002E09" w:rsidRPr="002D0AE2" w:rsidRDefault="00002E09" w:rsidP="002D0AE2">
            <w:pPr>
              <w:pStyle w:val="ekvaufzhlung1"/>
              <w:numPr>
                <w:ilvl w:val="0"/>
                <w:numId w:val="27"/>
              </w:numPr>
            </w:pPr>
            <w:r w:rsidRPr="002D0AE2">
              <w:t>Art. 1 GG: Menschenwürde ist unantastbar; Staat und Einrichtungen müssen sie achten und schützen.</w:t>
            </w:r>
          </w:p>
          <w:p w14:paraId="4359F1E9" w14:textId="0186F855" w:rsidR="00002E09" w:rsidRPr="002D0AE2" w:rsidRDefault="00002E09" w:rsidP="002D0AE2">
            <w:pPr>
              <w:pStyle w:val="ekvaufzhlung1"/>
              <w:numPr>
                <w:ilvl w:val="0"/>
                <w:numId w:val="27"/>
              </w:numPr>
            </w:pPr>
            <w:r w:rsidRPr="002D0AE2">
              <w:t>Art. 3 GG: Alle Menschen sind vor dem Gesetz gleich; Benachteiligung u. a. wegen Behinderung ist verboten.</w:t>
            </w:r>
          </w:p>
        </w:tc>
        <w:tc>
          <w:tcPr>
            <w:tcW w:w="4395" w:type="dxa"/>
            <w:tcBorders>
              <w:bottom w:val="single" w:sz="4" w:space="0" w:color="333333"/>
            </w:tcBorders>
            <w:shd w:val="clear" w:color="auto" w:fill="F7CAAC" w:themeFill="accent2" w:themeFillTint="66"/>
          </w:tcPr>
          <w:p w14:paraId="339F81A8" w14:textId="77777777" w:rsidR="002D0AE2" w:rsidRDefault="002D0AE2" w:rsidP="002D0AE2">
            <w:pPr>
              <w:rPr>
                <w:rStyle w:val="ekvfett"/>
              </w:rPr>
            </w:pPr>
          </w:p>
          <w:p w14:paraId="2095EBC4" w14:textId="23C40FD1" w:rsidR="00002E09" w:rsidRPr="002D0AE2" w:rsidRDefault="00002E09" w:rsidP="002D0AE2">
            <w:pPr>
              <w:rPr>
                <w:rStyle w:val="ekvfett"/>
              </w:rPr>
            </w:pPr>
            <w:r w:rsidRPr="002D0AE2">
              <w:rPr>
                <w:rStyle w:val="ekvfett"/>
              </w:rPr>
              <w:t>Urteil 04.11.2025:</w:t>
            </w:r>
          </w:p>
          <w:p w14:paraId="6BAAF3D9" w14:textId="77777777" w:rsidR="00002E09" w:rsidRPr="002D0AE2" w:rsidRDefault="00002E09" w:rsidP="002D0AE2"/>
          <w:p w14:paraId="32828E3A" w14:textId="63D6E92E" w:rsidR="00002E09" w:rsidRPr="002D0AE2" w:rsidRDefault="00002E09" w:rsidP="002D0AE2">
            <w:pPr>
              <w:pStyle w:val="ekvaufzhlung1"/>
              <w:numPr>
                <w:ilvl w:val="0"/>
                <w:numId w:val="31"/>
              </w:numPr>
            </w:pPr>
            <w:r w:rsidRPr="002D0AE2">
              <w:t>§ 5c IfSG verfassungswidrig (Kompetenzfrage); Folge: keine einheitliche Bundesregel.</w:t>
            </w:r>
          </w:p>
          <w:p w14:paraId="6CA2408C" w14:textId="48FE1373" w:rsidR="00002E09" w:rsidRPr="002D0AE2" w:rsidRDefault="00002E09" w:rsidP="002D0AE2">
            <w:pPr>
              <w:pStyle w:val="ekvaufzhlung1"/>
              <w:numPr>
                <w:ilvl w:val="0"/>
                <w:numId w:val="31"/>
              </w:numPr>
            </w:pPr>
            <w:r w:rsidRPr="002D0AE2">
              <w:t>Orientierung: Grundrechte und medizinisch-ethische Leitlinien (DIVI).</w:t>
            </w:r>
          </w:p>
        </w:tc>
      </w:tr>
      <w:tr w:rsidR="00002E09" w:rsidRPr="002D0AE2" w14:paraId="2B0B3AC8" w14:textId="77777777" w:rsidTr="00277EB8">
        <w:trPr>
          <w:trHeight w:val="3048"/>
        </w:trPr>
        <w:tc>
          <w:tcPr>
            <w:tcW w:w="4394" w:type="dxa"/>
            <w:shd w:val="clear" w:color="auto" w:fill="D9D9D9" w:themeFill="background1" w:themeFillShade="D9"/>
          </w:tcPr>
          <w:p w14:paraId="24BF363E" w14:textId="77777777" w:rsidR="002D0AE2" w:rsidRDefault="002D0AE2" w:rsidP="002D0AE2">
            <w:pPr>
              <w:rPr>
                <w:rStyle w:val="ekvfett"/>
              </w:rPr>
            </w:pPr>
          </w:p>
          <w:p w14:paraId="73EEF739" w14:textId="093DD91F" w:rsidR="00002E09" w:rsidRPr="002D0AE2" w:rsidRDefault="00002E09" w:rsidP="002D0AE2">
            <w:pPr>
              <w:rPr>
                <w:rStyle w:val="ekvfett"/>
              </w:rPr>
            </w:pPr>
            <w:r w:rsidRPr="002D0AE2">
              <w:rPr>
                <w:rStyle w:val="ekvfett"/>
              </w:rPr>
              <w:t>Leitlinien (vereinfacht):</w:t>
            </w:r>
          </w:p>
          <w:p w14:paraId="45408642" w14:textId="507592B1" w:rsidR="00002E09" w:rsidRPr="002D0AE2" w:rsidRDefault="00002E09" w:rsidP="002D0AE2"/>
          <w:p w14:paraId="318F2864" w14:textId="3FCC6DBD" w:rsidR="00002E09" w:rsidRPr="002D0AE2" w:rsidRDefault="00002E09" w:rsidP="002D0AE2">
            <w:pPr>
              <w:pStyle w:val="ekvaufzhlung1"/>
              <w:numPr>
                <w:ilvl w:val="0"/>
                <w:numId w:val="29"/>
              </w:numPr>
            </w:pPr>
            <w:r w:rsidRPr="002D0AE2">
              <w:t>Priorisierung an akuter, kurzfristiger Erfolgsaussicht.</w:t>
            </w:r>
          </w:p>
          <w:p w14:paraId="5C0D4058" w14:textId="360302A9" w:rsidR="00002E09" w:rsidRPr="002D0AE2" w:rsidRDefault="00002E09" w:rsidP="002D0AE2">
            <w:pPr>
              <w:pStyle w:val="ekvaufzhlung1"/>
              <w:numPr>
                <w:ilvl w:val="0"/>
                <w:numId w:val="29"/>
              </w:numPr>
            </w:pPr>
            <w:r w:rsidRPr="002D0AE2">
              <w:t>Regelmäßige Re-Evaluation und vollständige Dokumentation.</w:t>
            </w:r>
          </w:p>
          <w:p w14:paraId="26FC1A73" w14:textId="124A48C7" w:rsidR="00002E09" w:rsidRPr="002D0AE2" w:rsidRDefault="00002E09" w:rsidP="002D0AE2">
            <w:pPr>
              <w:pStyle w:val="ekvaufzhlung1"/>
              <w:numPr>
                <w:ilvl w:val="0"/>
                <w:numId w:val="29"/>
              </w:numPr>
            </w:pPr>
            <w:r w:rsidRPr="002D0AE2">
              <w:t>Ausschluss unzulässiger Kriterien (Alter, Behinderung, soziale Nützlichkeit).</w:t>
            </w:r>
          </w:p>
        </w:tc>
        <w:tc>
          <w:tcPr>
            <w:tcW w:w="4395" w:type="dxa"/>
            <w:shd w:val="clear" w:color="auto" w:fill="FFE599" w:themeFill="accent4" w:themeFillTint="66"/>
          </w:tcPr>
          <w:p w14:paraId="09EEF1DD" w14:textId="77777777" w:rsidR="002D0AE2" w:rsidRDefault="002D0AE2" w:rsidP="002D0AE2">
            <w:pPr>
              <w:rPr>
                <w:rStyle w:val="ekvfett"/>
              </w:rPr>
            </w:pPr>
          </w:p>
          <w:p w14:paraId="5F29E252" w14:textId="5690BEA7" w:rsidR="00002E09" w:rsidRPr="002D0AE2" w:rsidRDefault="00002E09" w:rsidP="002D0AE2">
            <w:pPr>
              <w:shd w:val="clear" w:color="auto" w:fill="FFE599" w:themeFill="accent4" w:themeFillTint="66"/>
              <w:rPr>
                <w:rStyle w:val="ekvfett"/>
              </w:rPr>
            </w:pPr>
            <w:r w:rsidRPr="002D0AE2">
              <w:rPr>
                <w:rStyle w:val="ekvfett"/>
              </w:rPr>
              <w:t xml:space="preserve">Ethik-Linsen </w:t>
            </w:r>
            <w:proofErr w:type="spellStart"/>
            <w:r w:rsidRPr="002D0AE2">
              <w:rPr>
                <w:rStyle w:val="ekvfett"/>
              </w:rPr>
              <w:t>Reminder</w:t>
            </w:r>
            <w:proofErr w:type="spellEnd"/>
            <w:r w:rsidRPr="002D0AE2">
              <w:rPr>
                <w:rStyle w:val="ekvfett"/>
              </w:rPr>
              <w:t>:</w:t>
            </w:r>
          </w:p>
          <w:p w14:paraId="366F27A0" w14:textId="77777777" w:rsidR="00002E09" w:rsidRPr="002D0AE2" w:rsidRDefault="00002E09" w:rsidP="002D0AE2">
            <w:pPr>
              <w:shd w:val="clear" w:color="auto" w:fill="FFE599" w:themeFill="accent4" w:themeFillTint="66"/>
            </w:pPr>
          </w:p>
          <w:p w14:paraId="64DC4EEF" w14:textId="0BCF584B" w:rsidR="00002E09" w:rsidRPr="002D0AE2" w:rsidRDefault="00002E09" w:rsidP="002D0AE2">
            <w:pPr>
              <w:pStyle w:val="ekvaufzhlung1"/>
              <w:numPr>
                <w:ilvl w:val="0"/>
                <w:numId w:val="30"/>
              </w:numPr>
              <w:shd w:val="clear" w:color="auto" w:fill="FFE599" w:themeFill="accent4" w:themeFillTint="66"/>
            </w:pPr>
            <w:r w:rsidRPr="002D0AE2">
              <w:t>Kant: Würdegarantie, keine Instrumentalisierung.</w:t>
            </w:r>
          </w:p>
          <w:p w14:paraId="72CD1D48" w14:textId="49528DC8" w:rsidR="00002E09" w:rsidRPr="002D0AE2" w:rsidRDefault="00002E09" w:rsidP="002D0AE2">
            <w:pPr>
              <w:pStyle w:val="ekvaufzhlung1"/>
              <w:numPr>
                <w:ilvl w:val="0"/>
                <w:numId w:val="30"/>
              </w:numPr>
              <w:shd w:val="clear" w:color="auto" w:fill="FFE599" w:themeFill="accent4" w:themeFillTint="66"/>
            </w:pPr>
            <w:r w:rsidRPr="002D0AE2">
              <w:t>Utilitarismus: größter Nutzen ohne Diskriminierung.</w:t>
            </w:r>
          </w:p>
          <w:p w14:paraId="41E95A07" w14:textId="54C92A17" w:rsidR="00002E09" w:rsidRPr="002D0AE2" w:rsidRDefault="00002E09" w:rsidP="002D0AE2">
            <w:pPr>
              <w:pStyle w:val="ekvaufzhlung1"/>
              <w:numPr>
                <w:ilvl w:val="0"/>
                <w:numId w:val="30"/>
              </w:numPr>
              <w:shd w:val="clear" w:color="auto" w:fill="FFE599" w:themeFill="accent4" w:themeFillTint="66"/>
            </w:pPr>
            <w:r w:rsidRPr="002D0AE2">
              <w:t>Rawls: faire Regeln, hinter dem Schleier akzeptabel.</w:t>
            </w:r>
          </w:p>
          <w:p w14:paraId="308F77F5" w14:textId="2368AB79" w:rsidR="00002E09" w:rsidRPr="002D0AE2" w:rsidRDefault="00002E09" w:rsidP="002D0AE2">
            <w:pPr>
              <w:pStyle w:val="ekvaufzhlung1"/>
              <w:numPr>
                <w:ilvl w:val="0"/>
                <w:numId w:val="30"/>
              </w:numPr>
              <w:shd w:val="clear" w:color="auto" w:fill="FFE599" w:themeFill="accent4" w:themeFillTint="66"/>
            </w:pPr>
            <w:r w:rsidRPr="002D0AE2">
              <w:t>Care/</w:t>
            </w:r>
            <w:proofErr w:type="spellStart"/>
            <w:r w:rsidRPr="002D0AE2">
              <w:t>Principlism</w:t>
            </w:r>
            <w:proofErr w:type="spellEnd"/>
            <w:r w:rsidRPr="002D0AE2">
              <w:t>: Nicht-Schaden, Wohltun, Gerechtigkeit, Autonomie.</w:t>
            </w:r>
          </w:p>
        </w:tc>
      </w:tr>
    </w:tbl>
    <w:p w14:paraId="392307E8" w14:textId="77777777" w:rsidR="00002E09" w:rsidRDefault="00002E09" w:rsidP="000A1644">
      <w:pPr>
        <w:pStyle w:val="ekvue2arial"/>
      </w:pPr>
    </w:p>
    <w:p w14:paraId="06E31818" w14:textId="77777777" w:rsidR="000A1644" w:rsidRDefault="000A1644" w:rsidP="000A1644"/>
    <w:p w14:paraId="175901B2" w14:textId="77777777" w:rsidR="000A1644" w:rsidRDefault="000A1644" w:rsidP="000A1644"/>
    <w:p w14:paraId="1BE28CDF" w14:textId="077E98A0" w:rsidR="000A1644" w:rsidRDefault="000A1644">
      <w:pPr>
        <w:tabs>
          <w:tab w:val="clear" w:pos="340"/>
          <w:tab w:val="clear" w:pos="595"/>
          <w:tab w:val="clear" w:pos="851"/>
        </w:tabs>
        <w:spacing w:after="160" w:line="259" w:lineRule="auto"/>
      </w:pPr>
      <w:r>
        <w:br w:type="page"/>
      </w:r>
    </w:p>
    <w:p w14:paraId="1EB1F796" w14:textId="38D29F68" w:rsidR="000A1644" w:rsidRDefault="000A1644" w:rsidP="000A1644">
      <w:pPr>
        <w:pStyle w:val="ekvue2arial"/>
      </w:pPr>
      <w:r>
        <w:t xml:space="preserve">Material Phase 3: </w:t>
      </w:r>
      <w:r w:rsidRPr="006C4783">
        <w:t>Kriterienraster „Policy-Check“ (Gruppenbogen)</w:t>
      </w:r>
    </w:p>
    <w:p w14:paraId="0B14B617" w14:textId="77777777" w:rsidR="000A1644" w:rsidRDefault="000A1644" w:rsidP="000A1644">
      <w:pPr>
        <w:rPr>
          <w:sz w:val="20"/>
          <w:szCs w:val="18"/>
        </w:rPr>
      </w:pPr>
    </w:p>
    <w:tbl>
      <w:tblPr>
        <w:tblStyle w:val="Tabellenraster"/>
        <w:tblW w:w="9634" w:type="dxa"/>
        <w:tblLayout w:type="fixed"/>
        <w:tblLook w:val="04A0" w:firstRow="1" w:lastRow="0" w:firstColumn="1" w:lastColumn="0" w:noHBand="0" w:noVBand="1"/>
      </w:tblPr>
      <w:tblGrid>
        <w:gridCol w:w="3256"/>
        <w:gridCol w:w="472"/>
        <w:gridCol w:w="472"/>
        <w:gridCol w:w="473"/>
        <w:gridCol w:w="4961"/>
      </w:tblGrid>
      <w:tr w:rsidR="000A1644" w14:paraId="7D17BC2C" w14:textId="77777777" w:rsidTr="00277EB8">
        <w:tc>
          <w:tcPr>
            <w:tcW w:w="3256" w:type="dxa"/>
            <w:vMerge w:val="restart"/>
            <w:shd w:val="clear" w:color="auto" w:fill="F2F2F2" w:themeFill="background1" w:themeFillShade="F2"/>
          </w:tcPr>
          <w:p w14:paraId="192DD3BB" w14:textId="77777777" w:rsidR="000A1644" w:rsidRPr="002D0F32" w:rsidRDefault="000A1644" w:rsidP="009E681A">
            <w:pPr>
              <w:pStyle w:val="berschriftBlogbeitrag"/>
              <w:rPr>
                <w:color w:val="auto"/>
                <w:sz w:val="20"/>
                <w:szCs w:val="18"/>
              </w:rPr>
            </w:pPr>
            <w:r w:rsidRPr="002D0F32">
              <w:rPr>
                <w:color w:val="auto"/>
                <w:sz w:val="20"/>
                <w:szCs w:val="18"/>
              </w:rPr>
              <w:t>Prüffeld</w:t>
            </w:r>
          </w:p>
        </w:tc>
        <w:tc>
          <w:tcPr>
            <w:tcW w:w="1417" w:type="dxa"/>
            <w:gridSpan w:val="3"/>
            <w:shd w:val="clear" w:color="auto" w:fill="F2F2F2" w:themeFill="background1" w:themeFillShade="F2"/>
          </w:tcPr>
          <w:p w14:paraId="0E205F24" w14:textId="77777777" w:rsidR="000A1644" w:rsidRPr="002D0F32" w:rsidRDefault="000A1644" w:rsidP="009E681A">
            <w:pPr>
              <w:pStyle w:val="berschriftBlogbeitrag"/>
              <w:jc w:val="center"/>
              <w:rPr>
                <w:color w:val="auto"/>
                <w:sz w:val="20"/>
                <w:szCs w:val="18"/>
              </w:rPr>
            </w:pPr>
            <w:r w:rsidRPr="002D0F32">
              <w:rPr>
                <w:color w:val="auto"/>
                <w:sz w:val="20"/>
                <w:szCs w:val="18"/>
              </w:rPr>
              <w:t>Bewertung</w:t>
            </w:r>
          </w:p>
        </w:tc>
        <w:tc>
          <w:tcPr>
            <w:tcW w:w="4961" w:type="dxa"/>
            <w:vMerge w:val="restart"/>
            <w:shd w:val="clear" w:color="auto" w:fill="F2F2F2" w:themeFill="background1" w:themeFillShade="F2"/>
          </w:tcPr>
          <w:p w14:paraId="0AEE9005" w14:textId="77777777" w:rsidR="000A1644" w:rsidRPr="002D0F32" w:rsidRDefault="000A1644" w:rsidP="009E681A">
            <w:pPr>
              <w:pStyle w:val="berschriftBlogbeitrag"/>
              <w:rPr>
                <w:color w:val="auto"/>
                <w:sz w:val="20"/>
                <w:szCs w:val="18"/>
              </w:rPr>
            </w:pPr>
            <w:r w:rsidRPr="002D0F32">
              <w:rPr>
                <w:color w:val="auto"/>
                <w:sz w:val="20"/>
                <w:szCs w:val="18"/>
              </w:rPr>
              <w:t>Begründung</w:t>
            </w:r>
            <w:r>
              <w:rPr>
                <w:color w:val="auto"/>
                <w:sz w:val="20"/>
                <w:szCs w:val="18"/>
              </w:rPr>
              <w:t xml:space="preserve"> (1 Satz)</w:t>
            </w:r>
          </w:p>
        </w:tc>
      </w:tr>
      <w:tr w:rsidR="000A1644" w14:paraId="45B69344" w14:textId="77777777" w:rsidTr="00277EB8">
        <w:trPr>
          <w:trHeight w:val="312"/>
        </w:trPr>
        <w:tc>
          <w:tcPr>
            <w:tcW w:w="3256" w:type="dxa"/>
            <w:vMerge/>
          </w:tcPr>
          <w:p w14:paraId="129AD235" w14:textId="77777777" w:rsidR="000A1644" w:rsidRPr="002D0F32" w:rsidRDefault="000A1644" w:rsidP="009E681A">
            <w:pPr>
              <w:pStyle w:val="berschriftBlogbeitrag"/>
              <w:rPr>
                <w:color w:val="auto"/>
                <w:sz w:val="20"/>
                <w:szCs w:val="18"/>
              </w:rPr>
            </w:pPr>
          </w:p>
        </w:tc>
        <w:tc>
          <w:tcPr>
            <w:tcW w:w="472" w:type="dxa"/>
          </w:tcPr>
          <w:p w14:paraId="587EF639" w14:textId="77777777" w:rsidR="000A1644" w:rsidRPr="00277EB8" w:rsidRDefault="000A1644" w:rsidP="009E681A">
            <w:pPr>
              <w:pStyle w:val="berschriftBlogbeitrag"/>
              <w:jc w:val="center"/>
              <w:rPr>
                <w:color w:val="auto"/>
                <w:sz w:val="16"/>
                <w:szCs w:val="16"/>
              </w:rPr>
            </w:pPr>
            <w:r w:rsidRPr="00277EB8">
              <w:rPr>
                <w:color w:val="auto"/>
                <w:sz w:val="16"/>
                <w:szCs w:val="16"/>
              </w:rPr>
              <w:t>+</w:t>
            </w:r>
          </w:p>
        </w:tc>
        <w:tc>
          <w:tcPr>
            <w:tcW w:w="472" w:type="dxa"/>
          </w:tcPr>
          <w:p w14:paraId="19B8C0AD" w14:textId="77777777" w:rsidR="000A1644" w:rsidRPr="00277EB8" w:rsidRDefault="000A1644" w:rsidP="009E681A">
            <w:pPr>
              <w:pStyle w:val="berschriftBlogbeitrag"/>
              <w:jc w:val="center"/>
              <w:rPr>
                <w:color w:val="auto"/>
                <w:sz w:val="16"/>
                <w:szCs w:val="16"/>
              </w:rPr>
            </w:pPr>
            <w:r w:rsidRPr="00277EB8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473" w:type="dxa"/>
          </w:tcPr>
          <w:p w14:paraId="5FC469C3" w14:textId="77777777" w:rsidR="000A1644" w:rsidRPr="00277EB8" w:rsidRDefault="000A1644" w:rsidP="009E681A">
            <w:pPr>
              <w:pStyle w:val="berschriftBlogbeitrag"/>
              <w:jc w:val="center"/>
              <w:rPr>
                <w:color w:val="auto"/>
                <w:sz w:val="16"/>
                <w:szCs w:val="16"/>
              </w:rPr>
            </w:pPr>
            <w:r w:rsidRPr="00277EB8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4961" w:type="dxa"/>
            <w:vMerge/>
          </w:tcPr>
          <w:p w14:paraId="0D1A5188" w14:textId="77777777" w:rsidR="000A1644" w:rsidRPr="002D0F32" w:rsidRDefault="000A1644" w:rsidP="009E681A">
            <w:pPr>
              <w:pStyle w:val="berschriftBlogbeitrag"/>
              <w:rPr>
                <w:color w:val="auto"/>
                <w:sz w:val="20"/>
                <w:szCs w:val="18"/>
              </w:rPr>
            </w:pPr>
          </w:p>
        </w:tc>
      </w:tr>
      <w:tr w:rsidR="000A1644" w14:paraId="0D32491C" w14:textId="77777777" w:rsidTr="00277EB8">
        <w:trPr>
          <w:cantSplit/>
          <w:trHeight w:val="957"/>
        </w:trPr>
        <w:tc>
          <w:tcPr>
            <w:tcW w:w="3256" w:type="dxa"/>
            <w:vMerge/>
          </w:tcPr>
          <w:p w14:paraId="083C6EC6" w14:textId="77777777" w:rsidR="000A1644" w:rsidRPr="002D0F32" w:rsidRDefault="000A1644" w:rsidP="009E681A">
            <w:pPr>
              <w:pStyle w:val="berschriftBlogbeitrag"/>
              <w:spacing w:before="0" w:after="0"/>
              <w:rPr>
                <w:color w:val="auto"/>
                <w:sz w:val="20"/>
                <w:szCs w:val="18"/>
              </w:rPr>
            </w:pPr>
          </w:p>
        </w:tc>
        <w:tc>
          <w:tcPr>
            <w:tcW w:w="472" w:type="dxa"/>
            <w:textDirection w:val="btLr"/>
          </w:tcPr>
          <w:p w14:paraId="117257F5" w14:textId="77777777" w:rsidR="000A1644" w:rsidRPr="00277EB8" w:rsidRDefault="000A1644" w:rsidP="009E681A">
            <w:pPr>
              <w:pStyle w:val="berschriftBlogbeitrag"/>
              <w:spacing w:before="0" w:after="0"/>
              <w:ind w:left="113" w:right="113"/>
              <w:jc w:val="center"/>
              <w:rPr>
                <w:b w:val="0"/>
                <w:bCs/>
                <w:color w:val="auto"/>
                <w:sz w:val="16"/>
                <w:szCs w:val="16"/>
              </w:rPr>
            </w:pPr>
            <w:r w:rsidRPr="00277EB8">
              <w:rPr>
                <w:b w:val="0"/>
                <w:bCs/>
                <w:color w:val="auto"/>
                <w:sz w:val="16"/>
                <w:szCs w:val="16"/>
              </w:rPr>
              <w:t>Stark</w:t>
            </w:r>
          </w:p>
        </w:tc>
        <w:tc>
          <w:tcPr>
            <w:tcW w:w="472" w:type="dxa"/>
            <w:textDirection w:val="btLr"/>
          </w:tcPr>
          <w:p w14:paraId="6AA5040E" w14:textId="77777777" w:rsidR="000A1644" w:rsidRPr="00277EB8" w:rsidRDefault="000A1644" w:rsidP="009E681A">
            <w:pPr>
              <w:pStyle w:val="berschriftBlogbeitrag"/>
              <w:spacing w:before="0" w:after="0"/>
              <w:ind w:left="113" w:right="113"/>
              <w:jc w:val="center"/>
              <w:rPr>
                <w:b w:val="0"/>
                <w:bCs/>
                <w:color w:val="auto"/>
                <w:sz w:val="16"/>
                <w:szCs w:val="16"/>
              </w:rPr>
            </w:pPr>
            <w:r w:rsidRPr="00277EB8">
              <w:rPr>
                <w:b w:val="0"/>
                <w:bCs/>
                <w:color w:val="auto"/>
                <w:sz w:val="16"/>
                <w:szCs w:val="16"/>
              </w:rPr>
              <w:t>Mittel</w:t>
            </w:r>
          </w:p>
          <w:p w14:paraId="579973D0" w14:textId="77777777" w:rsidR="000A1644" w:rsidRPr="00277EB8" w:rsidRDefault="000A1644" w:rsidP="009E681A">
            <w:pPr>
              <w:ind w:left="113" w:right="113"/>
              <w:rPr>
                <w:bCs/>
                <w:sz w:val="16"/>
                <w:szCs w:val="16"/>
                <w:lang w:eastAsia="de-DE"/>
              </w:rPr>
            </w:pPr>
          </w:p>
        </w:tc>
        <w:tc>
          <w:tcPr>
            <w:tcW w:w="473" w:type="dxa"/>
            <w:textDirection w:val="btLr"/>
          </w:tcPr>
          <w:p w14:paraId="34FCCD87" w14:textId="77777777" w:rsidR="000A1644" w:rsidRPr="00277EB8" w:rsidRDefault="000A1644" w:rsidP="009E681A">
            <w:pPr>
              <w:pStyle w:val="berschriftBlogbeitrag"/>
              <w:spacing w:before="0" w:after="0"/>
              <w:ind w:left="113" w:right="113"/>
              <w:jc w:val="center"/>
              <w:rPr>
                <w:b w:val="0"/>
                <w:bCs/>
                <w:color w:val="auto"/>
                <w:sz w:val="16"/>
                <w:szCs w:val="16"/>
              </w:rPr>
            </w:pPr>
            <w:r w:rsidRPr="00277EB8">
              <w:rPr>
                <w:b w:val="0"/>
                <w:bCs/>
                <w:color w:val="auto"/>
                <w:sz w:val="16"/>
                <w:szCs w:val="16"/>
              </w:rPr>
              <w:t>Schwach</w:t>
            </w:r>
          </w:p>
        </w:tc>
        <w:tc>
          <w:tcPr>
            <w:tcW w:w="4961" w:type="dxa"/>
            <w:vMerge/>
          </w:tcPr>
          <w:p w14:paraId="61657B26" w14:textId="77777777" w:rsidR="000A1644" w:rsidRPr="002D0F32" w:rsidRDefault="000A1644" w:rsidP="009E681A">
            <w:pPr>
              <w:pStyle w:val="berschriftBlogbeitrag"/>
              <w:spacing w:before="0" w:after="0"/>
              <w:rPr>
                <w:color w:val="auto"/>
                <w:sz w:val="20"/>
                <w:szCs w:val="18"/>
              </w:rPr>
            </w:pPr>
          </w:p>
        </w:tc>
      </w:tr>
      <w:tr w:rsidR="000A1644" w14:paraId="58831D2C" w14:textId="77777777" w:rsidTr="00277EB8">
        <w:trPr>
          <w:trHeight w:val="2242"/>
        </w:trPr>
        <w:tc>
          <w:tcPr>
            <w:tcW w:w="3256" w:type="dxa"/>
            <w:shd w:val="clear" w:color="auto" w:fill="F2F2F2" w:themeFill="background1" w:themeFillShade="F2"/>
          </w:tcPr>
          <w:p w14:paraId="5D2B64A7" w14:textId="77777777" w:rsidR="000A1644" w:rsidRDefault="000A1644" w:rsidP="009E681A">
            <w:pPr>
              <w:pStyle w:val="berschriftBlogbeitrag"/>
              <w:rPr>
                <w:b w:val="0"/>
                <w:bCs/>
                <w:color w:val="auto"/>
                <w:sz w:val="20"/>
                <w:szCs w:val="18"/>
              </w:rPr>
            </w:pPr>
            <w:r w:rsidRPr="006C4783">
              <w:rPr>
                <w:color w:val="auto"/>
                <w:sz w:val="20"/>
                <w:szCs w:val="18"/>
              </w:rPr>
              <w:t>Recht</w:t>
            </w:r>
            <w:r w:rsidRPr="006C4783">
              <w:rPr>
                <w:b w:val="0"/>
                <w:bCs/>
                <w:color w:val="auto"/>
                <w:sz w:val="20"/>
                <w:szCs w:val="18"/>
              </w:rPr>
              <w:t xml:space="preserve">: </w:t>
            </w:r>
          </w:p>
          <w:p w14:paraId="64C13E52" w14:textId="77777777" w:rsidR="000A1644" w:rsidRPr="006C4783" w:rsidRDefault="000A1644" w:rsidP="009E681A">
            <w:pPr>
              <w:pStyle w:val="berschriftBlogbeitrag"/>
              <w:rPr>
                <w:b w:val="0"/>
                <w:bCs/>
                <w:color w:val="auto"/>
                <w:sz w:val="20"/>
                <w:szCs w:val="18"/>
              </w:rPr>
            </w:pPr>
            <w:r w:rsidRPr="006C4783">
              <w:rPr>
                <w:b w:val="0"/>
                <w:bCs/>
                <w:color w:val="auto"/>
                <w:sz w:val="20"/>
                <w:szCs w:val="18"/>
              </w:rPr>
              <w:t>Wahrung von Art. 1/3 GG; Minimierung von Diskriminierungsrisiken; Rechtsklarheit.</w:t>
            </w:r>
          </w:p>
          <w:p w14:paraId="6480BFF4" w14:textId="77777777" w:rsidR="000A1644" w:rsidRDefault="000A1644" w:rsidP="009E681A">
            <w:pPr>
              <w:pStyle w:val="berschriftBlogbeitrag"/>
              <w:rPr>
                <w:b w:val="0"/>
                <w:bCs/>
                <w:color w:val="auto"/>
                <w:sz w:val="20"/>
                <w:szCs w:val="18"/>
              </w:rPr>
            </w:pPr>
          </w:p>
        </w:tc>
        <w:tc>
          <w:tcPr>
            <w:tcW w:w="472" w:type="dxa"/>
          </w:tcPr>
          <w:p w14:paraId="3A50F09F" w14:textId="77777777" w:rsidR="000A1644" w:rsidRDefault="000A1644" w:rsidP="009E681A">
            <w:pPr>
              <w:pStyle w:val="berschriftBlogbeitrag"/>
              <w:rPr>
                <w:b w:val="0"/>
                <w:bCs/>
                <w:color w:val="auto"/>
                <w:sz w:val="20"/>
                <w:szCs w:val="18"/>
              </w:rPr>
            </w:pPr>
          </w:p>
        </w:tc>
        <w:tc>
          <w:tcPr>
            <w:tcW w:w="472" w:type="dxa"/>
          </w:tcPr>
          <w:p w14:paraId="4E2BDCB3" w14:textId="77777777" w:rsidR="000A1644" w:rsidRDefault="000A1644" w:rsidP="009E681A">
            <w:pPr>
              <w:pStyle w:val="berschriftBlogbeitrag"/>
              <w:rPr>
                <w:b w:val="0"/>
                <w:bCs/>
                <w:color w:val="auto"/>
                <w:sz w:val="20"/>
                <w:szCs w:val="18"/>
              </w:rPr>
            </w:pPr>
          </w:p>
        </w:tc>
        <w:tc>
          <w:tcPr>
            <w:tcW w:w="473" w:type="dxa"/>
          </w:tcPr>
          <w:p w14:paraId="03BEB02C" w14:textId="77777777" w:rsidR="000A1644" w:rsidRDefault="000A1644" w:rsidP="009E681A">
            <w:pPr>
              <w:pStyle w:val="berschriftBlogbeitrag"/>
              <w:rPr>
                <w:b w:val="0"/>
                <w:bCs/>
                <w:color w:val="auto"/>
                <w:sz w:val="20"/>
                <w:szCs w:val="18"/>
              </w:rPr>
            </w:pPr>
          </w:p>
        </w:tc>
        <w:tc>
          <w:tcPr>
            <w:tcW w:w="4961" w:type="dxa"/>
          </w:tcPr>
          <w:p w14:paraId="4579461A" w14:textId="77777777" w:rsidR="000A1644" w:rsidRDefault="000A1644" w:rsidP="009E681A">
            <w:pPr>
              <w:pStyle w:val="berschriftBlogbeitrag"/>
              <w:rPr>
                <w:b w:val="0"/>
                <w:bCs/>
                <w:color w:val="auto"/>
                <w:sz w:val="20"/>
                <w:szCs w:val="18"/>
              </w:rPr>
            </w:pPr>
          </w:p>
        </w:tc>
      </w:tr>
      <w:tr w:rsidR="000A1644" w14:paraId="661BD8CD" w14:textId="77777777" w:rsidTr="00277EB8">
        <w:trPr>
          <w:trHeight w:val="2242"/>
        </w:trPr>
        <w:tc>
          <w:tcPr>
            <w:tcW w:w="3256" w:type="dxa"/>
            <w:shd w:val="clear" w:color="auto" w:fill="F2F2F2" w:themeFill="background1" w:themeFillShade="F2"/>
          </w:tcPr>
          <w:p w14:paraId="390316FF" w14:textId="77777777" w:rsidR="000A1644" w:rsidRDefault="000A1644" w:rsidP="009E681A">
            <w:pPr>
              <w:pStyle w:val="berschriftBlogbeitrag"/>
              <w:rPr>
                <w:b w:val="0"/>
                <w:bCs/>
                <w:color w:val="auto"/>
                <w:sz w:val="20"/>
                <w:szCs w:val="18"/>
              </w:rPr>
            </w:pPr>
            <w:r w:rsidRPr="006C4783">
              <w:rPr>
                <w:color w:val="auto"/>
                <w:sz w:val="20"/>
                <w:szCs w:val="18"/>
              </w:rPr>
              <w:t>Ethik</w:t>
            </w:r>
            <w:r w:rsidRPr="006C4783">
              <w:rPr>
                <w:b w:val="0"/>
                <w:bCs/>
                <w:color w:val="auto"/>
                <w:sz w:val="20"/>
                <w:szCs w:val="18"/>
              </w:rPr>
              <w:t xml:space="preserve">: </w:t>
            </w:r>
          </w:p>
          <w:p w14:paraId="469611B3" w14:textId="77777777" w:rsidR="000A1644" w:rsidRPr="006C4783" w:rsidRDefault="000A1644" w:rsidP="009E681A">
            <w:pPr>
              <w:pStyle w:val="berschriftBlogbeitrag"/>
              <w:rPr>
                <w:b w:val="0"/>
                <w:bCs/>
                <w:color w:val="auto"/>
                <w:sz w:val="20"/>
                <w:szCs w:val="18"/>
              </w:rPr>
            </w:pPr>
            <w:r w:rsidRPr="006C4783">
              <w:rPr>
                <w:b w:val="0"/>
                <w:bCs/>
                <w:color w:val="auto"/>
                <w:sz w:val="20"/>
                <w:szCs w:val="18"/>
              </w:rPr>
              <w:t>Kant (Würdegrenzen gewahrt?), Utilitarismus (Rettungsbilanz fair?), Rawls (akzeptabel für alle?), Care/</w:t>
            </w:r>
            <w:proofErr w:type="spellStart"/>
            <w:r w:rsidRPr="006C4783">
              <w:rPr>
                <w:b w:val="0"/>
                <w:bCs/>
                <w:color w:val="auto"/>
                <w:sz w:val="20"/>
                <w:szCs w:val="18"/>
              </w:rPr>
              <w:t>Principlism</w:t>
            </w:r>
            <w:proofErr w:type="spellEnd"/>
            <w:r w:rsidRPr="006C4783">
              <w:rPr>
                <w:b w:val="0"/>
                <w:bCs/>
                <w:color w:val="auto"/>
                <w:sz w:val="20"/>
                <w:szCs w:val="18"/>
              </w:rPr>
              <w:t xml:space="preserve"> (Nicht-Schaden, Fairness, Autonomie).</w:t>
            </w:r>
          </w:p>
          <w:p w14:paraId="0631CA6F" w14:textId="77777777" w:rsidR="000A1644" w:rsidRDefault="000A1644" w:rsidP="009E681A">
            <w:pPr>
              <w:pStyle w:val="berschriftBlogbeitrag"/>
              <w:rPr>
                <w:b w:val="0"/>
                <w:bCs/>
                <w:color w:val="auto"/>
                <w:sz w:val="20"/>
                <w:szCs w:val="18"/>
              </w:rPr>
            </w:pPr>
          </w:p>
        </w:tc>
        <w:tc>
          <w:tcPr>
            <w:tcW w:w="472" w:type="dxa"/>
          </w:tcPr>
          <w:p w14:paraId="3F2FC5F6" w14:textId="77777777" w:rsidR="000A1644" w:rsidRDefault="000A1644" w:rsidP="009E681A">
            <w:pPr>
              <w:pStyle w:val="berschriftBlogbeitrag"/>
              <w:rPr>
                <w:b w:val="0"/>
                <w:bCs/>
                <w:color w:val="auto"/>
                <w:sz w:val="20"/>
                <w:szCs w:val="18"/>
              </w:rPr>
            </w:pPr>
          </w:p>
        </w:tc>
        <w:tc>
          <w:tcPr>
            <w:tcW w:w="472" w:type="dxa"/>
          </w:tcPr>
          <w:p w14:paraId="26CA4CB4" w14:textId="77777777" w:rsidR="000A1644" w:rsidRDefault="000A1644" w:rsidP="009E681A">
            <w:pPr>
              <w:pStyle w:val="berschriftBlogbeitrag"/>
              <w:rPr>
                <w:b w:val="0"/>
                <w:bCs/>
                <w:color w:val="auto"/>
                <w:sz w:val="20"/>
                <w:szCs w:val="18"/>
              </w:rPr>
            </w:pPr>
          </w:p>
        </w:tc>
        <w:tc>
          <w:tcPr>
            <w:tcW w:w="473" w:type="dxa"/>
          </w:tcPr>
          <w:p w14:paraId="39ED632B" w14:textId="77777777" w:rsidR="000A1644" w:rsidRDefault="000A1644" w:rsidP="009E681A">
            <w:pPr>
              <w:pStyle w:val="berschriftBlogbeitrag"/>
              <w:rPr>
                <w:b w:val="0"/>
                <w:bCs/>
                <w:color w:val="auto"/>
                <w:sz w:val="20"/>
                <w:szCs w:val="18"/>
              </w:rPr>
            </w:pPr>
          </w:p>
        </w:tc>
        <w:tc>
          <w:tcPr>
            <w:tcW w:w="4961" w:type="dxa"/>
          </w:tcPr>
          <w:p w14:paraId="630230ED" w14:textId="77777777" w:rsidR="000A1644" w:rsidRDefault="000A1644" w:rsidP="009E681A">
            <w:pPr>
              <w:pStyle w:val="berschriftBlogbeitrag"/>
              <w:rPr>
                <w:b w:val="0"/>
                <w:bCs/>
                <w:color w:val="auto"/>
                <w:sz w:val="20"/>
                <w:szCs w:val="18"/>
              </w:rPr>
            </w:pPr>
          </w:p>
        </w:tc>
      </w:tr>
      <w:tr w:rsidR="000A1644" w14:paraId="1057F10D" w14:textId="77777777" w:rsidTr="00277EB8">
        <w:trPr>
          <w:trHeight w:val="2242"/>
        </w:trPr>
        <w:tc>
          <w:tcPr>
            <w:tcW w:w="3256" w:type="dxa"/>
            <w:shd w:val="clear" w:color="auto" w:fill="F2F2F2" w:themeFill="background1" w:themeFillShade="F2"/>
          </w:tcPr>
          <w:p w14:paraId="55590F1B" w14:textId="77777777" w:rsidR="000A1644" w:rsidRDefault="000A1644" w:rsidP="009E681A">
            <w:pPr>
              <w:pStyle w:val="berschriftBlogbeitrag"/>
              <w:rPr>
                <w:b w:val="0"/>
                <w:bCs/>
                <w:color w:val="auto"/>
                <w:sz w:val="20"/>
                <w:szCs w:val="18"/>
              </w:rPr>
            </w:pPr>
            <w:r w:rsidRPr="006C4783">
              <w:rPr>
                <w:color w:val="auto"/>
                <w:sz w:val="20"/>
                <w:szCs w:val="18"/>
              </w:rPr>
              <w:t>Praxis</w:t>
            </w:r>
            <w:r w:rsidRPr="006C4783">
              <w:rPr>
                <w:b w:val="0"/>
                <w:bCs/>
                <w:color w:val="auto"/>
                <w:sz w:val="20"/>
                <w:szCs w:val="18"/>
              </w:rPr>
              <w:t>:</w:t>
            </w:r>
          </w:p>
          <w:p w14:paraId="54A56875" w14:textId="77777777" w:rsidR="000A1644" w:rsidRPr="006C4783" w:rsidRDefault="000A1644" w:rsidP="009E681A">
            <w:pPr>
              <w:pStyle w:val="berschriftBlogbeitrag"/>
              <w:rPr>
                <w:b w:val="0"/>
                <w:bCs/>
                <w:color w:val="auto"/>
                <w:sz w:val="20"/>
                <w:szCs w:val="18"/>
              </w:rPr>
            </w:pPr>
            <w:r w:rsidRPr="006C4783">
              <w:rPr>
                <w:b w:val="0"/>
                <w:bCs/>
                <w:color w:val="auto"/>
                <w:sz w:val="20"/>
                <w:szCs w:val="18"/>
              </w:rPr>
              <w:t>Umsetzbarkeit in Krisen; Re-Evaluation verankert; Dokumentation; Ethikboard; Schulungsbedarf.</w:t>
            </w:r>
          </w:p>
          <w:p w14:paraId="68A52EB0" w14:textId="77777777" w:rsidR="000A1644" w:rsidRDefault="000A1644" w:rsidP="009E681A">
            <w:pPr>
              <w:pStyle w:val="berschriftBlogbeitrag"/>
              <w:rPr>
                <w:b w:val="0"/>
                <w:bCs/>
                <w:color w:val="auto"/>
                <w:sz w:val="20"/>
                <w:szCs w:val="18"/>
              </w:rPr>
            </w:pPr>
          </w:p>
        </w:tc>
        <w:tc>
          <w:tcPr>
            <w:tcW w:w="472" w:type="dxa"/>
          </w:tcPr>
          <w:p w14:paraId="23FCFC24" w14:textId="77777777" w:rsidR="000A1644" w:rsidRDefault="000A1644" w:rsidP="009E681A">
            <w:pPr>
              <w:pStyle w:val="berschriftBlogbeitrag"/>
              <w:rPr>
                <w:b w:val="0"/>
                <w:bCs/>
                <w:color w:val="auto"/>
                <w:sz w:val="20"/>
                <w:szCs w:val="18"/>
              </w:rPr>
            </w:pPr>
          </w:p>
        </w:tc>
        <w:tc>
          <w:tcPr>
            <w:tcW w:w="472" w:type="dxa"/>
          </w:tcPr>
          <w:p w14:paraId="3B61C1A0" w14:textId="77777777" w:rsidR="000A1644" w:rsidRDefault="000A1644" w:rsidP="009E681A">
            <w:pPr>
              <w:pStyle w:val="berschriftBlogbeitrag"/>
              <w:rPr>
                <w:b w:val="0"/>
                <w:bCs/>
                <w:color w:val="auto"/>
                <w:sz w:val="20"/>
                <w:szCs w:val="18"/>
              </w:rPr>
            </w:pPr>
          </w:p>
        </w:tc>
        <w:tc>
          <w:tcPr>
            <w:tcW w:w="473" w:type="dxa"/>
          </w:tcPr>
          <w:p w14:paraId="304DFB15" w14:textId="77777777" w:rsidR="000A1644" w:rsidRDefault="000A1644" w:rsidP="009E681A">
            <w:pPr>
              <w:pStyle w:val="berschriftBlogbeitrag"/>
              <w:rPr>
                <w:b w:val="0"/>
                <w:bCs/>
                <w:color w:val="auto"/>
                <w:sz w:val="20"/>
                <w:szCs w:val="18"/>
              </w:rPr>
            </w:pPr>
          </w:p>
        </w:tc>
        <w:tc>
          <w:tcPr>
            <w:tcW w:w="4961" w:type="dxa"/>
          </w:tcPr>
          <w:p w14:paraId="3AA613F2" w14:textId="77777777" w:rsidR="000A1644" w:rsidRDefault="000A1644" w:rsidP="009E681A">
            <w:pPr>
              <w:pStyle w:val="berschriftBlogbeitrag"/>
              <w:rPr>
                <w:b w:val="0"/>
                <w:bCs/>
                <w:color w:val="auto"/>
                <w:sz w:val="20"/>
                <w:szCs w:val="18"/>
              </w:rPr>
            </w:pPr>
          </w:p>
        </w:tc>
      </w:tr>
      <w:tr w:rsidR="000A1644" w14:paraId="781744B6" w14:textId="77777777" w:rsidTr="00277EB8">
        <w:trPr>
          <w:trHeight w:val="2242"/>
        </w:trPr>
        <w:tc>
          <w:tcPr>
            <w:tcW w:w="3256" w:type="dxa"/>
            <w:shd w:val="clear" w:color="auto" w:fill="F2F2F2" w:themeFill="background1" w:themeFillShade="F2"/>
          </w:tcPr>
          <w:p w14:paraId="18C733CD" w14:textId="77777777" w:rsidR="000A1644" w:rsidRDefault="000A1644" w:rsidP="009E681A">
            <w:pPr>
              <w:pStyle w:val="berschriftBlogbeitrag"/>
              <w:rPr>
                <w:b w:val="0"/>
                <w:bCs/>
                <w:color w:val="auto"/>
                <w:sz w:val="20"/>
                <w:szCs w:val="18"/>
              </w:rPr>
            </w:pPr>
            <w:r w:rsidRPr="006C4783">
              <w:rPr>
                <w:color w:val="auto"/>
                <w:sz w:val="20"/>
                <w:szCs w:val="18"/>
              </w:rPr>
              <w:t>Transparenz</w:t>
            </w:r>
            <w:r w:rsidRPr="006C4783">
              <w:rPr>
                <w:b w:val="0"/>
                <w:bCs/>
                <w:color w:val="auto"/>
                <w:sz w:val="20"/>
                <w:szCs w:val="18"/>
              </w:rPr>
              <w:t xml:space="preserve">: </w:t>
            </w:r>
          </w:p>
          <w:p w14:paraId="2D1AFC2B" w14:textId="77777777" w:rsidR="000A1644" w:rsidRPr="006C4783" w:rsidRDefault="000A1644" w:rsidP="009E681A">
            <w:pPr>
              <w:pStyle w:val="berschriftBlogbeitrag"/>
              <w:rPr>
                <w:b w:val="0"/>
                <w:bCs/>
                <w:color w:val="auto"/>
                <w:sz w:val="20"/>
                <w:szCs w:val="18"/>
              </w:rPr>
            </w:pPr>
            <w:r w:rsidRPr="006C4783">
              <w:rPr>
                <w:b w:val="0"/>
                <w:bCs/>
                <w:color w:val="auto"/>
                <w:sz w:val="20"/>
                <w:szCs w:val="18"/>
              </w:rPr>
              <w:t xml:space="preserve">Nachvollziehbare Begründungen; </w:t>
            </w:r>
            <w:proofErr w:type="spellStart"/>
            <w:r w:rsidRPr="006C4783">
              <w:rPr>
                <w:b w:val="0"/>
                <w:bCs/>
                <w:color w:val="auto"/>
                <w:sz w:val="20"/>
                <w:szCs w:val="18"/>
              </w:rPr>
              <w:t>Auditierbarkeit</w:t>
            </w:r>
            <w:proofErr w:type="spellEnd"/>
            <w:r w:rsidRPr="006C4783">
              <w:rPr>
                <w:b w:val="0"/>
                <w:bCs/>
                <w:color w:val="auto"/>
                <w:sz w:val="20"/>
                <w:szCs w:val="18"/>
              </w:rPr>
              <w:t>; öffentliche Kommunikation.</w:t>
            </w:r>
          </w:p>
          <w:p w14:paraId="7F48B60A" w14:textId="77777777" w:rsidR="000A1644" w:rsidRDefault="000A1644" w:rsidP="009E681A">
            <w:pPr>
              <w:pStyle w:val="berschriftBlogbeitrag"/>
              <w:rPr>
                <w:b w:val="0"/>
                <w:bCs/>
                <w:color w:val="auto"/>
                <w:sz w:val="20"/>
                <w:szCs w:val="18"/>
              </w:rPr>
            </w:pPr>
          </w:p>
        </w:tc>
        <w:tc>
          <w:tcPr>
            <w:tcW w:w="472" w:type="dxa"/>
          </w:tcPr>
          <w:p w14:paraId="237C9538" w14:textId="77777777" w:rsidR="000A1644" w:rsidRDefault="000A1644" w:rsidP="009E681A">
            <w:pPr>
              <w:pStyle w:val="berschriftBlogbeitrag"/>
              <w:rPr>
                <w:b w:val="0"/>
                <w:bCs/>
                <w:color w:val="auto"/>
                <w:sz w:val="20"/>
                <w:szCs w:val="18"/>
              </w:rPr>
            </w:pPr>
          </w:p>
        </w:tc>
        <w:tc>
          <w:tcPr>
            <w:tcW w:w="472" w:type="dxa"/>
          </w:tcPr>
          <w:p w14:paraId="7D755B48" w14:textId="77777777" w:rsidR="000A1644" w:rsidRDefault="000A1644" w:rsidP="009E681A">
            <w:pPr>
              <w:pStyle w:val="berschriftBlogbeitrag"/>
              <w:rPr>
                <w:b w:val="0"/>
                <w:bCs/>
                <w:color w:val="auto"/>
                <w:sz w:val="20"/>
                <w:szCs w:val="18"/>
              </w:rPr>
            </w:pPr>
          </w:p>
        </w:tc>
        <w:tc>
          <w:tcPr>
            <w:tcW w:w="473" w:type="dxa"/>
          </w:tcPr>
          <w:p w14:paraId="1A3BE679" w14:textId="77777777" w:rsidR="000A1644" w:rsidRDefault="000A1644" w:rsidP="009E681A">
            <w:pPr>
              <w:pStyle w:val="berschriftBlogbeitrag"/>
              <w:rPr>
                <w:b w:val="0"/>
                <w:bCs/>
                <w:color w:val="auto"/>
                <w:sz w:val="20"/>
                <w:szCs w:val="18"/>
              </w:rPr>
            </w:pPr>
          </w:p>
        </w:tc>
        <w:tc>
          <w:tcPr>
            <w:tcW w:w="4961" w:type="dxa"/>
          </w:tcPr>
          <w:p w14:paraId="0705799E" w14:textId="77777777" w:rsidR="000A1644" w:rsidRDefault="000A1644" w:rsidP="009E681A">
            <w:pPr>
              <w:pStyle w:val="berschriftBlogbeitrag"/>
              <w:rPr>
                <w:b w:val="0"/>
                <w:bCs/>
                <w:color w:val="auto"/>
                <w:sz w:val="20"/>
                <w:szCs w:val="18"/>
              </w:rPr>
            </w:pPr>
          </w:p>
        </w:tc>
      </w:tr>
    </w:tbl>
    <w:p w14:paraId="1E4B66FE" w14:textId="2EC00A09" w:rsidR="000A1644" w:rsidRDefault="000A1644" w:rsidP="000A1644"/>
    <w:p w14:paraId="184DD749" w14:textId="77777777" w:rsidR="000A1644" w:rsidRDefault="000A1644">
      <w:pPr>
        <w:tabs>
          <w:tab w:val="clear" w:pos="340"/>
          <w:tab w:val="clear" w:pos="595"/>
          <w:tab w:val="clear" w:pos="851"/>
        </w:tabs>
        <w:spacing w:after="160" w:line="259" w:lineRule="auto"/>
      </w:pPr>
      <w:r>
        <w:br w:type="page"/>
      </w:r>
    </w:p>
    <w:p w14:paraId="11A62AAE" w14:textId="4FCD641E" w:rsidR="000A1644" w:rsidRDefault="000A1644" w:rsidP="000A1644">
      <w:pPr>
        <w:pStyle w:val="ekvue2arial"/>
      </w:pPr>
      <w:r>
        <w:t xml:space="preserve">Material Phase 3: </w:t>
      </w:r>
      <w:r w:rsidRPr="006C4783">
        <w:t>Konsens-/Mehrheits-Memo (Vorlage, 6–8 Sätze)</w:t>
      </w:r>
      <w:r w:rsidR="00197ABF">
        <w:t xml:space="preserve"> und </w:t>
      </w:r>
      <w:r w:rsidR="00197ABF" w:rsidRPr="00197ABF">
        <w:t>Fairness- und Evidenz-Check (Peer-Minicheck)</w:t>
      </w:r>
    </w:p>
    <w:p w14:paraId="5F1FFD5D" w14:textId="77777777" w:rsidR="000A1644" w:rsidRDefault="000A1644" w:rsidP="000A1644">
      <w:pPr>
        <w:rPr>
          <w:sz w:val="20"/>
          <w:szCs w:val="18"/>
        </w:rPr>
      </w:pPr>
    </w:p>
    <w:p w14:paraId="654CCDA4" w14:textId="77777777" w:rsidR="00197ABF" w:rsidRDefault="00197ABF" w:rsidP="00197ABF">
      <w:pPr>
        <w:pStyle w:val="ekvue3arial"/>
      </w:pPr>
      <w:r>
        <w:t>Unser Konsens-/Mehrheits-Memo</w:t>
      </w:r>
    </w:p>
    <w:p w14:paraId="4E79E85D" w14:textId="77777777" w:rsidR="00197ABF" w:rsidRDefault="00197ABF" w:rsidP="00197ABF"/>
    <w:p w14:paraId="35D4252E" w14:textId="554CDD87" w:rsidR="00197ABF" w:rsidRDefault="00197ABF" w:rsidP="00277EB8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</w:pPr>
      <w:r w:rsidRPr="00277EB8">
        <w:rPr>
          <w:rStyle w:val="ekvfett"/>
        </w:rPr>
        <w:t xml:space="preserve">Empfehlung: </w:t>
      </w:r>
      <w:r>
        <w:t>Wir empfehlen [Landesgesetz verbindlich / Klinikautonomie mit Mindeststandards], weil …</w:t>
      </w:r>
    </w:p>
    <w:p w14:paraId="0A5351A4" w14:textId="77777777" w:rsidR="00197ABF" w:rsidRDefault="00197ABF" w:rsidP="00277EB8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</w:pPr>
    </w:p>
    <w:p w14:paraId="26A3370B" w14:textId="79E161F4" w:rsidR="00197ABF" w:rsidRDefault="00197ABF" w:rsidP="00277EB8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</w:pPr>
      <w:r w:rsidRPr="00277EB8">
        <w:rPr>
          <w:rStyle w:val="ekvfett"/>
        </w:rPr>
        <w:t>Rechtsgrundlage:</w:t>
      </w:r>
      <w:r>
        <w:t xml:space="preserve"> Unsere Lösung schützt Art. 1 und 3 GG, indem …</w:t>
      </w:r>
    </w:p>
    <w:p w14:paraId="021B758E" w14:textId="77777777" w:rsidR="00197ABF" w:rsidRPr="00277EB8" w:rsidRDefault="00197ABF" w:rsidP="00277EB8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rPr>
          <w:rStyle w:val="ekvfett"/>
        </w:rPr>
      </w:pPr>
    </w:p>
    <w:p w14:paraId="5C8A0380" w14:textId="77777777" w:rsidR="00197ABF" w:rsidRDefault="00197ABF" w:rsidP="00277EB8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</w:pPr>
      <w:r w:rsidRPr="00277EB8">
        <w:rPr>
          <w:rStyle w:val="ekvfett"/>
        </w:rPr>
        <w:t>Zulässige Kriterien:</w:t>
      </w:r>
      <w:r>
        <w:t xml:space="preserve"> Entscheidend sind die akute Erfolgsaussicht, klinische Dringlichkeit, Ressourcenlage. Unzulässig sind Alter, Behinderung, soziale Nützlichkeit, pauschale Vorerkrankungen.</w:t>
      </w:r>
    </w:p>
    <w:p w14:paraId="28862C93" w14:textId="77777777" w:rsidR="00197ABF" w:rsidRDefault="00197ABF" w:rsidP="00277EB8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</w:pPr>
    </w:p>
    <w:p w14:paraId="74C458A5" w14:textId="6C50383A" w:rsidR="00197ABF" w:rsidRDefault="00197ABF" w:rsidP="00277EB8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</w:pPr>
      <w:r w:rsidRPr="00277EB8">
        <w:rPr>
          <w:rStyle w:val="ekvfett"/>
        </w:rPr>
        <w:t>Verfahren:</w:t>
      </w:r>
      <w:r>
        <w:t xml:space="preserve"> Re-Evaluation nach … Stunden; Vier-Augen-Prinzip; Ethikboard bei Grenzfällen; vollständige Dokumentation.</w:t>
      </w:r>
    </w:p>
    <w:p w14:paraId="7D272FC3" w14:textId="77777777" w:rsidR="00197ABF" w:rsidRPr="00277EB8" w:rsidRDefault="00197ABF" w:rsidP="00277EB8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rPr>
          <w:rStyle w:val="ekvfett"/>
        </w:rPr>
      </w:pPr>
    </w:p>
    <w:p w14:paraId="2B89A5A2" w14:textId="05206900" w:rsidR="00197ABF" w:rsidRDefault="00197ABF" w:rsidP="00277EB8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</w:pPr>
      <w:r w:rsidRPr="00277EB8">
        <w:rPr>
          <w:rStyle w:val="ekvfett"/>
        </w:rPr>
        <w:t>Anti-Diskriminierung:</w:t>
      </w:r>
      <w:r>
        <w:t xml:space="preserve"> Wir vermeiden strukturelle Benachteiligung, indem … (z. B. klarer Ausschluss, regelmäßige Audits, Schulungen).</w:t>
      </w:r>
    </w:p>
    <w:p w14:paraId="090B7C32" w14:textId="77777777" w:rsidR="00197ABF" w:rsidRDefault="00197ABF" w:rsidP="00277EB8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</w:pPr>
    </w:p>
    <w:p w14:paraId="02510B20" w14:textId="1AB8E3D7" w:rsidR="000A1644" w:rsidRDefault="00197ABF" w:rsidP="00277EB8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</w:pPr>
      <w:r w:rsidRPr="00277EB8">
        <w:rPr>
          <w:rStyle w:val="ekvfett"/>
        </w:rPr>
        <w:t>Unterstützung:</w:t>
      </w:r>
      <w:r>
        <w:t xml:space="preserve"> Erforderlich sind … (z. B. Fortbildungen, landesweite Hotline, Qualitätsberichte).</w:t>
      </w:r>
    </w:p>
    <w:p w14:paraId="211B5F1D" w14:textId="77777777" w:rsidR="00197ABF" w:rsidRDefault="00197ABF" w:rsidP="00277EB8">
      <w:pPr>
        <w:pStyle w:val="ekvaufzhlung"/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</w:pPr>
    </w:p>
    <w:p w14:paraId="3949A3D5" w14:textId="77777777" w:rsidR="00197ABF" w:rsidRDefault="00197ABF" w:rsidP="00277EB8">
      <w:pPr>
        <w:pStyle w:val="ekvschreiblinie"/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</w:pPr>
      <w:r>
        <w:t>________________________________________________________________________________________</w:t>
      </w:r>
    </w:p>
    <w:p w14:paraId="591EEFDB" w14:textId="77777777" w:rsidR="00197ABF" w:rsidRDefault="00197ABF" w:rsidP="00277EB8">
      <w:pPr>
        <w:pStyle w:val="ekvschreiblinie"/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</w:pPr>
      <w:r>
        <w:t>________________________________________________________________________________________</w:t>
      </w:r>
    </w:p>
    <w:p w14:paraId="12E4775C" w14:textId="77777777" w:rsidR="00197ABF" w:rsidRDefault="00197ABF" w:rsidP="00277EB8">
      <w:pPr>
        <w:pStyle w:val="ekvschreiblinie"/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</w:pPr>
      <w:r>
        <w:t>________________________________________________________________________________________</w:t>
      </w:r>
    </w:p>
    <w:p w14:paraId="617F504D" w14:textId="77777777" w:rsidR="00197ABF" w:rsidRDefault="00197ABF" w:rsidP="00277EB8">
      <w:pPr>
        <w:pStyle w:val="ekvschreiblinie"/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</w:pPr>
      <w:r>
        <w:t>________________________________________________________________________________________</w:t>
      </w:r>
    </w:p>
    <w:p w14:paraId="6C38918E" w14:textId="77777777" w:rsidR="00197ABF" w:rsidRDefault="00197ABF" w:rsidP="00277EB8">
      <w:pPr>
        <w:pStyle w:val="ekvschreiblinie"/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</w:pPr>
      <w:r>
        <w:t>________________________________________________________________________________________</w:t>
      </w:r>
    </w:p>
    <w:p w14:paraId="5134F0E4" w14:textId="77777777" w:rsidR="00197ABF" w:rsidRDefault="00197ABF" w:rsidP="00277EB8">
      <w:pPr>
        <w:pStyle w:val="ekvschreiblinie"/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</w:pPr>
      <w:r>
        <w:t>________________________________________________________________________________________</w:t>
      </w:r>
    </w:p>
    <w:p w14:paraId="770A41DA" w14:textId="77777777" w:rsidR="00197ABF" w:rsidRDefault="00197ABF" w:rsidP="00277EB8">
      <w:pPr>
        <w:pStyle w:val="ekvschreiblinie"/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</w:pPr>
      <w:r>
        <w:t>________________________________________________________________________________________</w:t>
      </w:r>
    </w:p>
    <w:p w14:paraId="5F8D3F08" w14:textId="77777777" w:rsidR="00197ABF" w:rsidRDefault="00197ABF" w:rsidP="00277EB8">
      <w:pPr>
        <w:pStyle w:val="ekvschreiblinie"/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</w:pPr>
      <w:r>
        <w:t>________________________________________________________________________________________</w:t>
      </w:r>
    </w:p>
    <w:p w14:paraId="48B7F30B" w14:textId="77777777" w:rsidR="00197ABF" w:rsidRDefault="00197ABF" w:rsidP="00277EB8">
      <w:pPr>
        <w:pStyle w:val="ekvschreiblinie"/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</w:pPr>
      <w:r>
        <w:t>________________________________________________________________________________________</w:t>
      </w:r>
    </w:p>
    <w:p w14:paraId="53F3BE5E" w14:textId="77777777" w:rsidR="00197ABF" w:rsidRDefault="00197ABF" w:rsidP="00277EB8">
      <w:pPr>
        <w:pStyle w:val="ekvschreiblinie"/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</w:pPr>
      <w:r>
        <w:t>________________________________________________________________________________________</w:t>
      </w:r>
    </w:p>
    <w:p w14:paraId="1FD91B22" w14:textId="77777777" w:rsidR="00197ABF" w:rsidRDefault="00197ABF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14:paraId="0A8471CB" w14:textId="77777777" w:rsidR="00197ABF" w:rsidRDefault="00197ABF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14:paraId="5BA0D73C" w14:textId="77777777" w:rsidR="00197ABF" w:rsidRDefault="00197ABF" w:rsidP="00197ABF">
      <w:pPr>
        <w:pStyle w:val="ekvue3arial"/>
      </w:pPr>
      <w:r w:rsidRPr="00197ABF">
        <w:t>Fairness- und Evidenz-Check (Peer-Minicheck)</w:t>
      </w:r>
    </w:p>
    <w:p w14:paraId="0EDA89D6" w14:textId="77777777" w:rsidR="00197ABF" w:rsidRDefault="00197ABF" w:rsidP="00197ABF"/>
    <w:p w14:paraId="309E9CEA" w14:textId="46C13AB6" w:rsidR="00197ABF" w:rsidRPr="00197ABF" w:rsidRDefault="00197ABF" w:rsidP="00197ABF">
      <w:pPr>
        <w:pStyle w:val="ekvaufzhlu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A5611">
        <w:rPr>
          <w:rStyle w:val="ekvsymbolaufzhlung"/>
        </w:rPr>
        <w:sym w:font="Wingdings" w:char="F06C"/>
      </w:r>
      <w:r w:rsidRPr="00C17BE6">
        <w:tab/>
      </w:r>
      <w:r w:rsidRPr="00197ABF">
        <w:t xml:space="preserve">Habe ich die Gegenseite korrekt und wohlwollend paraphrasiert? </w:t>
      </w:r>
    </w:p>
    <w:p w14:paraId="4FF6969F" w14:textId="518C6DC3" w:rsidR="00197ABF" w:rsidRPr="00197ABF" w:rsidRDefault="00197ABF" w:rsidP="00197ABF">
      <w:pPr>
        <w:pStyle w:val="ekvaufzhlu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A5611">
        <w:rPr>
          <w:rStyle w:val="ekvsymbolaufzhlung"/>
        </w:rPr>
        <w:sym w:font="Wingdings" w:char="F06C"/>
      </w:r>
      <w:r w:rsidRPr="00C17BE6">
        <w:tab/>
      </w:r>
      <w:r w:rsidRPr="00197ABF">
        <w:t>Stützt unsere Empfehlung sich explizit auf Art. 1/3 GG und Leitlinien?</w:t>
      </w:r>
    </w:p>
    <w:p w14:paraId="41FD34E4" w14:textId="09D05393" w:rsidR="00197ABF" w:rsidRPr="00197ABF" w:rsidRDefault="00197ABF" w:rsidP="00197ABF">
      <w:pPr>
        <w:pStyle w:val="ekvaufzhlu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A5611">
        <w:rPr>
          <w:rStyle w:val="ekvsymbolaufzhlung"/>
        </w:rPr>
        <w:sym w:font="Wingdings" w:char="F06C"/>
      </w:r>
      <w:r w:rsidRPr="00C17BE6">
        <w:tab/>
      </w:r>
      <w:r w:rsidRPr="00197ABF">
        <w:t>Sind unzulässige Kriterien ausdrücklich ausgeschlossen?</w:t>
      </w:r>
    </w:p>
    <w:p w14:paraId="29E2F495" w14:textId="33A6BF5C" w:rsidR="00197ABF" w:rsidRPr="00197ABF" w:rsidRDefault="00197ABF" w:rsidP="00197ABF">
      <w:pPr>
        <w:pStyle w:val="ekvaufzhlu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A5611">
        <w:rPr>
          <w:rStyle w:val="ekvsymbolaufzhlung"/>
        </w:rPr>
        <w:sym w:font="Wingdings" w:char="F06C"/>
      </w:r>
      <w:r w:rsidRPr="00C17BE6">
        <w:tab/>
      </w:r>
      <w:r w:rsidRPr="00197ABF">
        <w:t>Ist Re-Evaluation klar geregelt?</w:t>
      </w:r>
    </w:p>
    <w:p w14:paraId="2A497AD5" w14:textId="2FCB92F6" w:rsidR="00197ABF" w:rsidRPr="000E200F" w:rsidRDefault="00197ABF" w:rsidP="00197ABF">
      <w:pPr>
        <w:pStyle w:val="ekvaufzhlu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A5611">
        <w:rPr>
          <w:rStyle w:val="ekvsymbolaufzhlung"/>
        </w:rPr>
        <w:sym w:font="Wingdings" w:char="F06C"/>
      </w:r>
      <w:r w:rsidRPr="00C17BE6">
        <w:tab/>
      </w:r>
      <w:r w:rsidRPr="00197ABF">
        <w:t>Ist die Begründung für Außenstehende verständlich und dokumentierbar?</w:t>
      </w:r>
    </w:p>
    <w:sectPr w:rsidR="00197ABF" w:rsidRPr="000E200F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4037E" w14:textId="77777777" w:rsidR="000A1644" w:rsidRDefault="000A1644" w:rsidP="003C599D">
      <w:pPr>
        <w:spacing w:line="240" w:lineRule="auto"/>
      </w:pPr>
      <w:r>
        <w:separator/>
      </w:r>
    </w:p>
  </w:endnote>
  <w:endnote w:type="continuationSeparator" w:id="0">
    <w:p w14:paraId="1207F480" w14:textId="77777777" w:rsidR="000A1644" w:rsidRDefault="000A1644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2691A5D7" w14:textId="77777777" w:rsidTr="00503EE6">
      <w:trPr>
        <w:trHeight w:hRule="exact" w:val="680"/>
      </w:trPr>
      <w:tc>
        <w:tcPr>
          <w:tcW w:w="864" w:type="dxa"/>
          <w:noWrap/>
        </w:tcPr>
        <w:p w14:paraId="4F107854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0EC62598" wp14:editId="629CE22D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45E519E3" w14:textId="62853B1F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113A05">
            <w:t>25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1D1515BE" w14:textId="0D670C9C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 w:rsidR="000A1644">
            <w:t>Stefan Lesser</w:t>
          </w:r>
        </w:p>
      </w:tc>
      <w:tc>
        <w:tcPr>
          <w:tcW w:w="813" w:type="dxa"/>
        </w:tcPr>
        <w:p w14:paraId="4CEFCCD3" w14:textId="77777777" w:rsidR="002659C5" w:rsidRPr="00913892" w:rsidRDefault="002659C5" w:rsidP="00913892">
          <w:pPr>
            <w:pStyle w:val="ekvpagina"/>
          </w:pPr>
        </w:p>
      </w:tc>
    </w:tr>
  </w:tbl>
  <w:p w14:paraId="3C93E98B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16680" w14:textId="77777777" w:rsidR="000A1644" w:rsidRDefault="000A1644" w:rsidP="003C599D">
      <w:pPr>
        <w:spacing w:line="240" w:lineRule="auto"/>
      </w:pPr>
      <w:r>
        <w:separator/>
      </w:r>
    </w:p>
  </w:footnote>
  <w:footnote w:type="continuationSeparator" w:id="0">
    <w:p w14:paraId="7F9FBE95" w14:textId="77777777" w:rsidR="000A1644" w:rsidRDefault="000A1644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3800E04E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468C629A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2AF86D0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2D39D5F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B492E1D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17AD7E5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60B918FF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003F5FBD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14A9E455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54A95C1B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1A4886AA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F28DC"/>
    <w:multiLevelType w:val="hybridMultilevel"/>
    <w:tmpl w:val="27F662C4"/>
    <w:lvl w:ilvl="0" w:tplc="04070003">
      <w:start w:val="1"/>
      <w:numFmt w:val="bullet"/>
      <w:lvlText w:val="o"/>
      <w:lvlJc w:val="left"/>
      <w:pPr>
        <w:ind w:left="10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04CC42E9"/>
    <w:multiLevelType w:val="hybridMultilevel"/>
    <w:tmpl w:val="37121E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91DAE"/>
    <w:multiLevelType w:val="hybridMultilevel"/>
    <w:tmpl w:val="C4604E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22817"/>
    <w:multiLevelType w:val="hybridMultilevel"/>
    <w:tmpl w:val="DDF6C50C"/>
    <w:lvl w:ilvl="0" w:tplc="04070003">
      <w:start w:val="1"/>
      <w:numFmt w:val="bullet"/>
      <w:lvlText w:val="o"/>
      <w:lvlJc w:val="left"/>
      <w:pPr>
        <w:ind w:left="10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0AB045C9"/>
    <w:multiLevelType w:val="hybridMultilevel"/>
    <w:tmpl w:val="CF407F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80053"/>
    <w:multiLevelType w:val="hybridMultilevel"/>
    <w:tmpl w:val="407071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F28FA"/>
    <w:multiLevelType w:val="hybridMultilevel"/>
    <w:tmpl w:val="6AC0A4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432DAA"/>
    <w:multiLevelType w:val="hybridMultilevel"/>
    <w:tmpl w:val="20C8FB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5B3A3F"/>
    <w:multiLevelType w:val="hybridMultilevel"/>
    <w:tmpl w:val="94D8C312"/>
    <w:lvl w:ilvl="0" w:tplc="0407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2A820038"/>
    <w:multiLevelType w:val="hybridMultilevel"/>
    <w:tmpl w:val="068813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C1293"/>
    <w:multiLevelType w:val="hybridMultilevel"/>
    <w:tmpl w:val="9210E0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F15E1F"/>
    <w:multiLevelType w:val="hybridMultilevel"/>
    <w:tmpl w:val="1F3EF7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ED68C9"/>
    <w:multiLevelType w:val="hybridMultilevel"/>
    <w:tmpl w:val="8D30F4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015766"/>
    <w:multiLevelType w:val="hybridMultilevel"/>
    <w:tmpl w:val="533C78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7F0B4B"/>
    <w:multiLevelType w:val="hybridMultilevel"/>
    <w:tmpl w:val="FAB20A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82318C"/>
    <w:multiLevelType w:val="hybridMultilevel"/>
    <w:tmpl w:val="0BA285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C255D7"/>
    <w:multiLevelType w:val="hybridMultilevel"/>
    <w:tmpl w:val="E30829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624322"/>
    <w:multiLevelType w:val="hybridMultilevel"/>
    <w:tmpl w:val="89BC5F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1E77A3"/>
    <w:multiLevelType w:val="hybridMultilevel"/>
    <w:tmpl w:val="124A15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C51204"/>
    <w:multiLevelType w:val="hybridMultilevel"/>
    <w:tmpl w:val="897E0A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B41E77"/>
    <w:multiLevelType w:val="hybridMultilevel"/>
    <w:tmpl w:val="080898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F31974"/>
    <w:multiLevelType w:val="hybridMultilevel"/>
    <w:tmpl w:val="C736ECB6"/>
    <w:lvl w:ilvl="0" w:tplc="04070003">
      <w:start w:val="1"/>
      <w:numFmt w:val="bullet"/>
      <w:lvlText w:val="o"/>
      <w:lvlJc w:val="left"/>
      <w:pPr>
        <w:ind w:left="10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2" w15:restartNumberingAfterBreak="0">
    <w:nsid w:val="61234BDF"/>
    <w:multiLevelType w:val="hybridMultilevel"/>
    <w:tmpl w:val="D0ACFF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2E397F"/>
    <w:multiLevelType w:val="hybridMultilevel"/>
    <w:tmpl w:val="D700BB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7C676B"/>
    <w:multiLevelType w:val="hybridMultilevel"/>
    <w:tmpl w:val="9CE68CF2"/>
    <w:lvl w:ilvl="0" w:tplc="0407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5" w15:restartNumberingAfterBreak="0">
    <w:nsid w:val="6BEC14A0"/>
    <w:multiLevelType w:val="hybridMultilevel"/>
    <w:tmpl w:val="C9FEA8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0F4312"/>
    <w:multiLevelType w:val="hybridMultilevel"/>
    <w:tmpl w:val="76D2D7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550B8D"/>
    <w:multiLevelType w:val="hybridMultilevel"/>
    <w:tmpl w:val="A5A2D5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ED08C2"/>
    <w:multiLevelType w:val="hybridMultilevel"/>
    <w:tmpl w:val="639AA8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5265C5"/>
    <w:multiLevelType w:val="hybridMultilevel"/>
    <w:tmpl w:val="069A83F0"/>
    <w:lvl w:ilvl="0" w:tplc="04070003">
      <w:start w:val="1"/>
      <w:numFmt w:val="bullet"/>
      <w:lvlText w:val="o"/>
      <w:lvlJc w:val="left"/>
      <w:pPr>
        <w:ind w:left="10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0" w15:restartNumberingAfterBreak="0">
    <w:nsid w:val="7A1C5A36"/>
    <w:multiLevelType w:val="hybridMultilevel"/>
    <w:tmpl w:val="0F5A31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5255550">
    <w:abstractNumId w:val="16"/>
  </w:num>
  <w:num w:numId="2" w16cid:durableId="1518156262">
    <w:abstractNumId w:val="10"/>
  </w:num>
  <w:num w:numId="3" w16cid:durableId="406391071">
    <w:abstractNumId w:val="5"/>
  </w:num>
  <w:num w:numId="4" w16cid:durableId="84767196">
    <w:abstractNumId w:val="23"/>
  </w:num>
  <w:num w:numId="5" w16cid:durableId="799617387">
    <w:abstractNumId w:val="0"/>
  </w:num>
  <w:num w:numId="6" w16cid:durableId="1976788310">
    <w:abstractNumId w:val="21"/>
  </w:num>
  <w:num w:numId="7" w16cid:durableId="266355375">
    <w:abstractNumId w:val="29"/>
  </w:num>
  <w:num w:numId="8" w16cid:durableId="1756126290">
    <w:abstractNumId w:val="3"/>
  </w:num>
  <w:num w:numId="9" w16cid:durableId="713043286">
    <w:abstractNumId w:val="30"/>
  </w:num>
  <w:num w:numId="10" w16cid:durableId="1000625164">
    <w:abstractNumId w:val="1"/>
  </w:num>
  <w:num w:numId="11" w16cid:durableId="339745564">
    <w:abstractNumId w:val="9"/>
  </w:num>
  <w:num w:numId="12" w16cid:durableId="1784112033">
    <w:abstractNumId w:val="18"/>
  </w:num>
  <w:num w:numId="13" w16cid:durableId="1744135448">
    <w:abstractNumId w:val="8"/>
  </w:num>
  <w:num w:numId="14" w16cid:durableId="877352541">
    <w:abstractNumId w:val="2"/>
  </w:num>
  <w:num w:numId="15" w16cid:durableId="763914839">
    <w:abstractNumId w:val="24"/>
  </w:num>
  <w:num w:numId="16" w16cid:durableId="3750023">
    <w:abstractNumId w:val="19"/>
  </w:num>
  <w:num w:numId="17" w16cid:durableId="848059278">
    <w:abstractNumId w:val="6"/>
  </w:num>
  <w:num w:numId="18" w16cid:durableId="994189019">
    <w:abstractNumId w:val="28"/>
  </w:num>
  <w:num w:numId="19" w16cid:durableId="1171487333">
    <w:abstractNumId w:val="12"/>
  </w:num>
  <w:num w:numId="20" w16cid:durableId="537398874">
    <w:abstractNumId w:val="15"/>
  </w:num>
  <w:num w:numId="21" w16cid:durableId="79718590">
    <w:abstractNumId w:val="7"/>
  </w:num>
  <w:num w:numId="22" w16cid:durableId="955452849">
    <w:abstractNumId w:val="22"/>
  </w:num>
  <w:num w:numId="23" w16cid:durableId="187111213">
    <w:abstractNumId w:val="20"/>
  </w:num>
  <w:num w:numId="24" w16cid:durableId="2059086664">
    <w:abstractNumId w:val="11"/>
  </w:num>
  <w:num w:numId="25" w16cid:durableId="35391901">
    <w:abstractNumId w:val="25"/>
  </w:num>
  <w:num w:numId="26" w16cid:durableId="1807432328">
    <w:abstractNumId w:val="13"/>
  </w:num>
  <w:num w:numId="27" w16cid:durableId="347800752">
    <w:abstractNumId w:val="4"/>
  </w:num>
  <w:num w:numId="28" w16cid:durableId="1723598216">
    <w:abstractNumId w:val="27"/>
  </w:num>
  <w:num w:numId="29" w16cid:durableId="1753428457">
    <w:abstractNumId w:val="26"/>
  </w:num>
  <w:num w:numId="30" w16cid:durableId="824322472">
    <w:abstractNumId w:val="17"/>
  </w:num>
  <w:num w:numId="31" w16cid:durableId="44677858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644"/>
    <w:rsid w:val="00002E09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1644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3A05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97ABF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77EB8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0AE2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1544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5656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7F5CEE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D55F5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25F31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EB7D85"/>
  <w15:chartTrackingRefBased/>
  <w15:docId w15:val="{C222B16C-5EC0-4775-A7CE-D51BF5002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D0AE2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character" w:styleId="Fett">
    <w:name w:val="Strong"/>
    <w:basedOn w:val="Absatz-Standardschriftart"/>
    <w:uiPriority w:val="22"/>
    <w:qFormat/>
    <w:rsid w:val="000A1644"/>
    <w:rPr>
      <w:b/>
      <w:bCs/>
    </w:rPr>
  </w:style>
  <w:style w:type="paragraph" w:customStyle="1" w:styleId="berschriftBlogbeitrag">
    <w:name w:val="Überschrift Blogbeitrag"/>
    <w:basedOn w:val="StandardWeb"/>
    <w:qFormat/>
    <w:rsid w:val="000A1644"/>
    <w:pPr>
      <w:tabs>
        <w:tab w:val="clear" w:pos="340"/>
        <w:tab w:val="clear" w:pos="595"/>
        <w:tab w:val="clear" w:pos="851"/>
      </w:tabs>
      <w:spacing w:before="120" w:after="120" w:line="240" w:lineRule="auto"/>
    </w:pPr>
    <w:rPr>
      <w:rFonts w:ascii="Arial" w:eastAsia="Times New Roman" w:hAnsi="Arial"/>
      <w:b/>
      <w:color w:val="5B9BD5" w:themeColor="accent1"/>
      <w:sz w:val="32"/>
      <w:szCs w:val="28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0A164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787</Words>
  <Characters>4959</Characters>
  <Application>Microsoft Office Word</Application>
  <DocSecurity>4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2025-11-10T12:55:00Z</dcterms:created>
  <dcterms:modified xsi:type="dcterms:W3CDTF">2025-11-10T12:55:00Z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