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C82C2" w14:textId="22CB7923" w:rsidR="005C7C69" w:rsidRPr="00DC3130" w:rsidRDefault="00505A09" w:rsidP="00DC3130">
      <w:pPr>
        <w:pStyle w:val="ekvue2arial"/>
      </w:pPr>
      <w:r w:rsidRPr="00DC3130">
        <w:t>Das Völkerrecht – mehr als Recht?</w:t>
      </w:r>
    </w:p>
    <w:p w14:paraId="3D82A184" w14:textId="0571C584" w:rsidR="00424704" w:rsidRPr="00DC3130" w:rsidRDefault="0024170D" w:rsidP="00DC3130">
      <w:pPr>
        <w:pStyle w:val="ekvue2arial"/>
      </w:pPr>
      <w:r w:rsidRPr="00DC3130">
        <w:t>V</w:t>
      </w:r>
      <w:r w:rsidR="00424704" w:rsidRPr="00DC3130">
        <w:t xml:space="preserve">ölkerrecht als Prüfstein moralphilosophischer Theorien </w:t>
      </w:r>
    </w:p>
    <w:p w14:paraId="62323F7D" w14:textId="77777777" w:rsidR="00424704" w:rsidRDefault="00424704" w:rsidP="00424704">
      <w:pPr>
        <w:pStyle w:val="ekvue2arial"/>
      </w:pPr>
    </w:p>
    <w:tbl>
      <w:tblPr>
        <w:tblStyle w:val="Tabellenraster"/>
        <w:tblW w:w="0" w:type="auto"/>
        <w:tblCellMar>
          <w:top w:w="57" w:type="dxa"/>
          <w:bottom w:w="57" w:type="dxa"/>
        </w:tblCellMar>
        <w:tblLook w:val="04A0" w:firstRow="1" w:lastRow="0" w:firstColumn="1" w:lastColumn="0" w:noHBand="0" w:noVBand="1"/>
      </w:tblPr>
      <w:tblGrid>
        <w:gridCol w:w="9344"/>
      </w:tblGrid>
      <w:tr w:rsidR="0024170D" w14:paraId="400B8942" w14:textId="77777777" w:rsidTr="00B21CF2">
        <w:tc>
          <w:tcPr>
            <w:tcW w:w="9344" w:type="dxa"/>
          </w:tcPr>
          <w:p w14:paraId="3C049004" w14:textId="2B3972AC" w:rsidR="0024170D" w:rsidRPr="00B21CF2" w:rsidRDefault="0024170D" w:rsidP="00B21CF2">
            <w:pPr>
              <w:pStyle w:val="ekvue3arial"/>
            </w:pPr>
            <w:r w:rsidRPr="00B21CF2">
              <w:t>Vier Denkweisen, ein Konflikt</w:t>
            </w:r>
          </w:p>
          <w:p w14:paraId="6474177F" w14:textId="77777777" w:rsidR="0024170D" w:rsidRPr="00DC3130" w:rsidRDefault="0024170D" w:rsidP="00DC3130">
            <w:r w:rsidRPr="00DC3130">
              <w:t xml:space="preserve">Stellen Sie sich vor, es gibt keine Weltregierung, keine internationale Polizei, kein oberstes Gericht, das immer durchgreifen kann. </w:t>
            </w:r>
          </w:p>
          <w:p w14:paraId="583D5098" w14:textId="7E8F8F29" w:rsidR="0024170D" w:rsidRPr="00DC3130" w:rsidRDefault="0024170D" w:rsidP="00DC3130">
            <w:r w:rsidRPr="00DC3130">
              <w:t>Trotzdem berufen sich Staaten auf Regeln, sprechen von Recht, Schuld und Verantwortung. Genau hier setzt das Völkerrecht an – und genau hier beginnen die philosophischen Streitfragen.</w:t>
            </w:r>
          </w:p>
          <w:p w14:paraId="3F149663" w14:textId="77777777" w:rsidR="0024170D" w:rsidRPr="00DC3130" w:rsidRDefault="0024170D" w:rsidP="00DC3130">
            <w:r w:rsidRPr="00DC3130">
              <w:t>Im Umgang mit dem Völkerrecht lassen sich vier grundlegend unterschiedliche Denkweisen unterscheiden:</w:t>
            </w:r>
          </w:p>
          <w:p w14:paraId="222ACC8A" w14:textId="77777777" w:rsidR="0024170D" w:rsidRDefault="0024170D" w:rsidP="0024170D">
            <w:pPr>
              <w:pStyle w:val="ekvue2arial"/>
            </w:pPr>
          </w:p>
          <w:tbl>
            <w:tblPr>
              <w:tblStyle w:val="Tabellenraster"/>
              <w:tblW w:w="0" w:type="auto"/>
              <w:tblLook w:val="04A0" w:firstRow="1" w:lastRow="0" w:firstColumn="1" w:lastColumn="0" w:noHBand="0" w:noVBand="1"/>
            </w:tblPr>
            <w:tblGrid>
              <w:gridCol w:w="9118"/>
            </w:tblGrid>
            <w:tr w:rsidR="0024170D" w:rsidRPr="00DC3130" w14:paraId="59AF6E70" w14:textId="77777777" w:rsidTr="00DD1062">
              <w:tc>
                <w:tcPr>
                  <w:tcW w:w="9344" w:type="dxa"/>
                  <w:shd w:val="clear" w:color="auto" w:fill="DEEAF6" w:themeFill="accent1" w:themeFillTint="33"/>
                </w:tcPr>
                <w:p w14:paraId="0C19ED40" w14:textId="1E68F25A" w:rsidR="0024170D" w:rsidRPr="00DC3130" w:rsidRDefault="0024170D" w:rsidP="00B21CF2">
                  <w:pPr>
                    <w:rPr>
                      <w:b/>
                    </w:rPr>
                  </w:pPr>
                  <w:r w:rsidRPr="00DC3130">
                    <w:t>Ein realistischer Zugang geht davon aus, dass Staaten in erster Linie ihre eigenen Interessen verfolgen. Sicherheit, Macht und Überleben stehen im Vordergrund. Regeln gelten nur, solange sie nützlich sind oder von mächtigen Akteuren durchgesetzt werden können. Moralische Normen haben keinen eigenständigen Wert, sondern sind Mittel zum Zweck.</w:t>
                  </w:r>
                </w:p>
              </w:tc>
            </w:tr>
          </w:tbl>
          <w:p w14:paraId="3A2CB5C0" w14:textId="77777777" w:rsidR="0024170D" w:rsidRPr="00DC3130" w:rsidRDefault="0024170D" w:rsidP="00B21CF2">
            <w:pPr>
              <w:pStyle w:val="ekvtabellelinks"/>
              <w:rPr>
                <w:b/>
              </w:rPr>
            </w:pPr>
          </w:p>
          <w:tbl>
            <w:tblPr>
              <w:tblStyle w:val="Tabellenraster"/>
              <w:tblW w:w="0" w:type="auto"/>
              <w:tblLook w:val="04A0" w:firstRow="1" w:lastRow="0" w:firstColumn="1" w:lastColumn="0" w:noHBand="0" w:noVBand="1"/>
            </w:tblPr>
            <w:tblGrid>
              <w:gridCol w:w="9118"/>
            </w:tblGrid>
            <w:tr w:rsidR="0024170D" w:rsidRPr="00DC3130" w14:paraId="61BCDD50" w14:textId="77777777" w:rsidTr="00DD1062">
              <w:tc>
                <w:tcPr>
                  <w:tcW w:w="9344" w:type="dxa"/>
                  <w:shd w:val="clear" w:color="auto" w:fill="FBE4D5" w:themeFill="accent2" w:themeFillTint="33"/>
                </w:tcPr>
                <w:p w14:paraId="5E724B3A" w14:textId="797A75C4" w:rsidR="0024170D" w:rsidRPr="00DC3130" w:rsidRDefault="0024170D" w:rsidP="00B21CF2">
                  <w:pPr>
                    <w:rPr>
                      <w:b/>
                    </w:rPr>
                  </w:pPr>
                  <w:r w:rsidRPr="00DC3130">
                    <w:t>Ein pflichtethischer Zugang widerspricht dem entschieden. Er geht davon aus, dass bestimmte Regeln immer gelten müssen – unabhängig davon, ob sie Vorteile bringen oder durchsetzbar sind. Frieden, Gewaltverzicht und der Schutz von Menschen sind keine Optionen, sondern moralische Verpflichtungen. Wird eine Regel aufgeweicht, verliert sie ihren Anspruch.</w:t>
                  </w:r>
                </w:p>
              </w:tc>
            </w:tr>
          </w:tbl>
          <w:p w14:paraId="25833FD3" w14:textId="77777777" w:rsidR="0024170D" w:rsidRPr="00DC3130" w:rsidRDefault="0024170D" w:rsidP="00B21CF2">
            <w:pPr>
              <w:pStyle w:val="ekvtabellelinks"/>
              <w:rPr>
                <w:b/>
              </w:rPr>
            </w:pPr>
          </w:p>
          <w:tbl>
            <w:tblPr>
              <w:tblStyle w:val="Tabellenraster"/>
              <w:tblW w:w="0" w:type="auto"/>
              <w:tblLook w:val="04A0" w:firstRow="1" w:lastRow="0" w:firstColumn="1" w:lastColumn="0" w:noHBand="0" w:noVBand="1"/>
            </w:tblPr>
            <w:tblGrid>
              <w:gridCol w:w="9118"/>
            </w:tblGrid>
            <w:tr w:rsidR="0024170D" w:rsidRPr="00DC3130" w14:paraId="1F0BC97E" w14:textId="77777777" w:rsidTr="00DD1062">
              <w:tc>
                <w:tcPr>
                  <w:tcW w:w="9344" w:type="dxa"/>
                  <w:shd w:val="clear" w:color="auto" w:fill="FFF2CC" w:themeFill="accent4" w:themeFillTint="33"/>
                </w:tcPr>
                <w:p w14:paraId="69DB59AA" w14:textId="7EBF5DC8" w:rsidR="0024170D" w:rsidRPr="00DC3130" w:rsidRDefault="0024170D" w:rsidP="00B21CF2">
                  <w:pPr>
                    <w:rPr>
                      <w:b/>
                    </w:rPr>
                  </w:pPr>
                  <w:r w:rsidRPr="00DC3130">
                    <w:t>Ein utilitaristischer Zugang beurteilt Handlungen nach ihren Folgen. Entscheidend ist, ob insgesamt mehr Leid verhindert oder mehr Nutzen erzeugt wird. In extremen Situationen können daher Regelverletzungen moralisch vertretbar erscheinen, wenn sie ein größeres Übel verhindern.</w:t>
                  </w:r>
                </w:p>
              </w:tc>
            </w:tr>
          </w:tbl>
          <w:p w14:paraId="223DAE7B" w14:textId="77777777" w:rsidR="0024170D" w:rsidRPr="00DC3130" w:rsidRDefault="0024170D" w:rsidP="00B21CF2">
            <w:pPr>
              <w:pStyle w:val="ekvtabellelinks"/>
              <w:rPr>
                <w:b/>
              </w:rPr>
            </w:pPr>
          </w:p>
          <w:tbl>
            <w:tblPr>
              <w:tblStyle w:val="Tabellenraster"/>
              <w:tblW w:w="0" w:type="auto"/>
              <w:tblLook w:val="04A0" w:firstRow="1" w:lastRow="0" w:firstColumn="1" w:lastColumn="0" w:noHBand="0" w:noVBand="1"/>
            </w:tblPr>
            <w:tblGrid>
              <w:gridCol w:w="9118"/>
            </w:tblGrid>
            <w:tr w:rsidR="0024170D" w:rsidRPr="00DC3130" w14:paraId="3F1FD599" w14:textId="77777777" w:rsidTr="00B21CF2">
              <w:tc>
                <w:tcPr>
                  <w:tcW w:w="9118" w:type="dxa"/>
                  <w:shd w:val="clear" w:color="auto" w:fill="FDCFF3"/>
                </w:tcPr>
                <w:p w14:paraId="5717979A" w14:textId="23D024DB" w:rsidR="0024170D" w:rsidRPr="00DC3130" w:rsidRDefault="0024170D" w:rsidP="00B21CF2">
                  <w:pPr>
                    <w:rPr>
                      <w:b/>
                    </w:rPr>
                  </w:pPr>
                  <w:r w:rsidRPr="00DC3130">
                    <w:t>Ein verantwortungsethischer Zugang richtet den Blick nicht primär auf Staaten oder Systeme, sondern auf handelnde Menschen. Auch wer innerhalb von Befehlen, Rollen oder Institutionen handelt, bleibt moralisch verantwortlich. Verantwortung kann nicht vollständig an Strukturen abgegeben werden.</w:t>
                  </w:r>
                </w:p>
              </w:tc>
            </w:tr>
          </w:tbl>
          <w:p w14:paraId="0562F2DC" w14:textId="1390DFBE" w:rsidR="00B21CF2" w:rsidRDefault="00B21CF2" w:rsidP="0024170D">
            <w:pPr>
              <w:pStyle w:val="ekvue2arial"/>
              <w:tabs>
                <w:tab w:val="clear" w:pos="340"/>
                <w:tab w:val="clear" w:pos="595"/>
                <w:tab w:val="clear" w:pos="851"/>
                <w:tab w:val="left" w:pos="2370"/>
              </w:tabs>
            </w:pPr>
          </w:p>
        </w:tc>
      </w:tr>
    </w:tbl>
    <w:p w14:paraId="47EA8751" w14:textId="77777777" w:rsidR="0024170D" w:rsidRDefault="0024170D" w:rsidP="00424704">
      <w:pPr>
        <w:pStyle w:val="ekvue2arial"/>
      </w:pPr>
    </w:p>
    <w:p w14:paraId="645BC532" w14:textId="2F05297C" w:rsidR="0024170D" w:rsidRPr="00DC3130" w:rsidRDefault="001E1E2C" w:rsidP="00DC3130">
      <w:pPr>
        <w:pStyle w:val="ekvue3arial"/>
        <w:rPr>
          <w:bCs/>
        </w:rPr>
      </w:pPr>
      <w:r w:rsidRPr="00DC3130">
        <w:t>Aufgaben</w:t>
      </w:r>
    </w:p>
    <w:p w14:paraId="2E6E2BEF" w14:textId="2A2A1C75" w:rsidR="0024170D" w:rsidRPr="00B21CF2" w:rsidRDefault="00DC3130" w:rsidP="00B21CF2">
      <w:pPr>
        <w:pStyle w:val="ekvaufzhlung"/>
      </w:pPr>
      <w:r w:rsidRPr="00B21CF2">
        <w:t>1.</w:t>
      </w:r>
      <w:r w:rsidRPr="00B21CF2">
        <w:tab/>
      </w:r>
      <w:r w:rsidR="0024170D" w:rsidRPr="00B21CF2">
        <w:t>Sie sind politischer Berater eines Staates in einem internationalen Konflikt. Wählen Sie eine der vier Denkweisen aus beantworten Sie folgende Fragen:</w:t>
      </w:r>
    </w:p>
    <w:p w14:paraId="6E61190A" w14:textId="74C009DB" w:rsidR="0024170D" w:rsidRPr="00DC3130" w:rsidRDefault="0024170D" w:rsidP="00B21CF2">
      <w:pPr>
        <w:pStyle w:val="ekvaufzhlung1"/>
        <w:rPr>
          <w:b/>
        </w:rPr>
      </w:pPr>
      <w:r w:rsidRPr="00DC3130">
        <w:t>a) Erscheint diese Sichtweise in internationalen Krisen besonders plausibel?</w:t>
      </w:r>
    </w:p>
    <w:p w14:paraId="3C4E8B59" w14:textId="06471890" w:rsidR="0024170D" w:rsidRPr="00DC3130" w:rsidRDefault="0024170D" w:rsidP="00B21CF2">
      <w:pPr>
        <w:pStyle w:val="ekvaufzhlung1"/>
        <w:rPr>
          <w:b/>
        </w:rPr>
      </w:pPr>
      <w:r w:rsidRPr="00DC3130">
        <w:t>b) Werden Probleme des Völkerrechts aus dieser Perspektive sichtbar?</w:t>
      </w:r>
    </w:p>
    <w:p w14:paraId="41345A87" w14:textId="7086057B" w:rsidR="0024170D" w:rsidRPr="00DC3130" w:rsidRDefault="0024170D" w:rsidP="00B21CF2">
      <w:pPr>
        <w:pStyle w:val="ekvaufzhlung1"/>
        <w:rPr>
          <w:b/>
        </w:rPr>
      </w:pPr>
      <w:r w:rsidRPr="00DC3130">
        <w:t>c) Wird dabei etwas ausgeblendet oder in Kauf genommen?</w:t>
      </w:r>
    </w:p>
    <w:p w14:paraId="56C53685" w14:textId="77777777" w:rsidR="00DC3130" w:rsidRDefault="00DC3130" w:rsidP="00DC3130">
      <w:pPr>
        <w:pStyle w:val="ekvaufzhlung"/>
      </w:pPr>
      <w:r w:rsidRPr="00DC3130">
        <w:t>2.</w:t>
      </w:r>
      <w:r w:rsidRPr="00DC3130">
        <w:tab/>
      </w:r>
      <w:r w:rsidR="0024170D" w:rsidRPr="00DC3130">
        <w:t xml:space="preserve">Suchen Sie sich eine Mitschülerin/ einen Mitschüler, die/ der eine andere Denkweise gewählt hat. </w:t>
      </w:r>
    </w:p>
    <w:p w14:paraId="7DDDDA8D" w14:textId="55847D3B" w:rsidR="0024170D" w:rsidRPr="00B21CF2" w:rsidRDefault="0024170D" w:rsidP="00B21CF2">
      <w:pPr>
        <w:pStyle w:val="ekvaufzhlung1"/>
      </w:pPr>
      <w:r w:rsidRPr="00B21CF2">
        <w:t>a) E</w:t>
      </w:r>
      <w:r w:rsidR="00417D90" w:rsidRPr="00B21CF2">
        <w:t>n</w:t>
      </w:r>
      <w:r w:rsidRPr="00B21CF2">
        <w:t>twick</w:t>
      </w:r>
      <w:r w:rsidR="00417D90" w:rsidRPr="00B21CF2">
        <w:t>eln Sie je einen starken Einwand gegen die Position des anderen.</w:t>
      </w:r>
    </w:p>
    <w:p w14:paraId="7106755A" w14:textId="3548AAD6" w:rsidR="00417D90" w:rsidRPr="00B21CF2" w:rsidRDefault="00417D90" w:rsidP="00B21CF2">
      <w:pPr>
        <w:pStyle w:val="ekvaufzhlung1"/>
      </w:pPr>
      <w:r w:rsidRPr="00B21CF2">
        <w:t>b) Formulieren Sie eine kritische Nachfrage, auf die es keine einfache Antwort gibt.</w:t>
      </w:r>
    </w:p>
    <w:p w14:paraId="3C520868" w14:textId="5F5B2172" w:rsidR="00417D90" w:rsidRPr="00DC3130" w:rsidRDefault="00B21CF2" w:rsidP="00B21CF2">
      <w:pPr>
        <w:pStyle w:val="ekvaufzhlung"/>
      </w:pPr>
      <w:r>
        <w:tab/>
      </w:r>
      <w:r w:rsidR="00417D90" w:rsidRPr="00B21CF2">
        <w:t>Beispiel: „Wenn Regeln immer gelten müssen – was passiert dann, wenn ihre Einhaltung zu mehr Leid führt?“</w:t>
      </w:r>
    </w:p>
    <w:p w14:paraId="30A53F9D" w14:textId="45231E48" w:rsidR="00417D90" w:rsidRPr="00DC3130" w:rsidRDefault="00DC3130" w:rsidP="00DC3130">
      <w:pPr>
        <w:pStyle w:val="ekvaufzhlung"/>
        <w:rPr>
          <w:b/>
        </w:rPr>
      </w:pPr>
      <w:r>
        <w:t>3.</w:t>
      </w:r>
      <w:r>
        <w:tab/>
      </w:r>
      <w:r w:rsidR="00417D90" w:rsidRPr="00DC3130">
        <w:t>Untersuchen Sie ihre gewählte Position auf einen kritischen Punkt:</w:t>
      </w:r>
    </w:p>
    <w:p w14:paraId="6D92697C" w14:textId="0231740A" w:rsidR="00417D90" w:rsidRPr="00DC3130" w:rsidRDefault="00417D90" w:rsidP="00DC3130">
      <w:pPr>
        <w:pStyle w:val="ekvaufzhlung1"/>
        <w:rPr>
          <w:b/>
        </w:rPr>
      </w:pPr>
      <w:r w:rsidRPr="00DC3130">
        <w:t>a) Wo droht Beliebigkeit („Alles ist erlaubt, wenn es nützt“)?</w:t>
      </w:r>
    </w:p>
    <w:p w14:paraId="1C4699A7" w14:textId="533CB3F1" w:rsidR="00417D90" w:rsidRPr="00DC3130" w:rsidRDefault="00417D90" w:rsidP="00DC3130">
      <w:pPr>
        <w:pStyle w:val="ekvaufzhlung1"/>
        <w:rPr>
          <w:b/>
        </w:rPr>
      </w:pPr>
      <w:r w:rsidRPr="00DC3130">
        <w:t>b) Wo droht Starrheit („Regeln gelten selbst dann, wenn sie Menschen schaden“)?</w:t>
      </w:r>
    </w:p>
    <w:p w14:paraId="3A757939" w14:textId="74153649" w:rsidR="00417D90" w:rsidRPr="00DC3130" w:rsidRDefault="00417D90" w:rsidP="00DC3130">
      <w:pPr>
        <w:pStyle w:val="ekvaufzhlung1"/>
        <w:rPr>
          <w:b/>
        </w:rPr>
      </w:pPr>
      <w:r w:rsidRPr="00DC3130">
        <w:t>c) Wo droht Entlastung („Ich habe nur Befehle befolgt“)?</w:t>
      </w:r>
    </w:p>
    <w:p w14:paraId="03846D34" w14:textId="49208EB8" w:rsidR="00417D90" w:rsidRPr="00DC3130" w:rsidRDefault="00417D90" w:rsidP="00DC3130">
      <w:pPr>
        <w:pStyle w:val="ekvaufzhlung1"/>
        <w:rPr>
          <w:b/>
        </w:rPr>
      </w:pPr>
      <w:r w:rsidRPr="00DC3130">
        <w:t>Formulieren Sie diesen Punkt als Warnsatz, z. B.: „Diese Position wird problematisch, wenn …“</w:t>
      </w:r>
    </w:p>
    <w:p w14:paraId="13C86045" w14:textId="0110162B" w:rsidR="00417D90" w:rsidRDefault="00DC3130" w:rsidP="00DC3130">
      <w:pPr>
        <w:pStyle w:val="ekvaufzhlung"/>
      </w:pPr>
      <w:r>
        <w:t>4.</w:t>
      </w:r>
      <w:r>
        <w:tab/>
      </w:r>
      <w:r w:rsidR="00417D90" w:rsidRPr="00DC3130">
        <w:t>Nehmen Sie Stellung zu folgender These: „Das Völkerrecht wirkt weniger durch Strafe als durch moralischen Druck.“</w:t>
      </w:r>
    </w:p>
    <w:p w14:paraId="7A60E9F4" w14:textId="77777777" w:rsidR="00B21CF2" w:rsidRPr="00DC3130" w:rsidRDefault="00B21CF2" w:rsidP="00DC3130">
      <w:pPr>
        <w:pStyle w:val="ekvaufzhlung"/>
        <w:rPr>
          <w:b/>
        </w:rPr>
      </w:pPr>
    </w:p>
    <w:p w14:paraId="1674E145" w14:textId="5275D3B2" w:rsidR="00417D90" w:rsidRPr="00DC3130" w:rsidRDefault="00417D90" w:rsidP="00DC3130">
      <w:pPr>
        <w:rPr>
          <w:rStyle w:val="Fett"/>
        </w:rPr>
      </w:pPr>
      <w:r w:rsidRPr="00DC3130">
        <w:rPr>
          <w:rStyle w:val="Fett"/>
        </w:rPr>
        <w:t>Vertiefungsaufgabe</w:t>
      </w:r>
    </w:p>
    <w:p w14:paraId="4B1F0118" w14:textId="48F35A6B" w:rsidR="0024170D" w:rsidRPr="00DC3130" w:rsidRDefault="00417D90" w:rsidP="00DC3130">
      <w:pPr>
        <w:rPr>
          <w:b/>
        </w:rPr>
      </w:pPr>
      <w:r w:rsidRPr="00DC3130">
        <w:t xml:space="preserve">Formulieren Sie eine </w:t>
      </w:r>
      <w:r w:rsidRPr="00DC3130">
        <w:rPr>
          <w:rStyle w:val="Fett"/>
          <w:b w:val="0"/>
          <w:bCs w:val="0"/>
          <w:sz w:val="18"/>
          <w:szCs w:val="18"/>
        </w:rPr>
        <w:t>eigene fünfte Position</w:t>
      </w:r>
      <w:r w:rsidRPr="00DC3130">
        <w:rPr>
          <w:b/>
        </w:rPr>
        <w:t>,</w:t>
      </w:r>
      <w:r w:rsidRPr="00DC3130">
        <w:t xml:space="preserve"> die versucht, Schwächen der vier Ansätze zu vermeiden. (Welche Regel dürfte Ihrer Meinung nach </w:t>
      </w:r>
      <w:r w:rsidRPr="00DC3130">
        <w:rPr>
          <w:rStyle w:val="Fett"/>
          <w:b w:val="0"/>
          <w:bCs w:val="0"/>
          <w:sz w:val="18"/>
          <w:szCs w:val="18"/>
        </w:rPr>
        <w:t>niemals</w:t>
      </w:r>
      <w:r w:rsidRPr="00DC3130">
        <w:t xml:space="preserve"> verletzt werden – und warum?)</w:t>
      </w:r>
    </w:p>
    <w:p w14:paraId="495FC847" w14:textId="12CC0436" w:rsidR="0016330F" w:rsidRPr="00851B3B" w:rsidRDefault="0016330F" w:rsidP="0013745E">
      <w:pPr>
        <w:pStyle w:val="ekvue2arial"/>
      </w:pPr>
    </w:p>
    <w:sectPr w:rsidR="0016330F" w:rsidRPr="00851B3B" w:rsidSect="00720DCE">
      <w:headerReference w:type="default" r:id="rId7"/>
      <w:footerReference w:type="default" r:id="rId8"/>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F406B" w14:textId="77777777" w:rsidR="005D2DC3" w:rsidRDefault="005D2DC3" w:rsidP="003C599D">
      <w:pPr>
        <w:spacing w:line="240" w:lineRule="auto"/>
      </w:pPr>
      <w:r>
        <w:separator/>
      </w:r>
    </w:p>
  </w:endnote>
  <w:endnote w:type="continuationSeparator" w:id="0">
    <w:p w14:paraId="53A4BF71" w14:textId="77777777" w:rsidR="005D2DC3" w:rsidRDefault="005D2DC3"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18B8D734" w14:textId="77777777" w:rsidTr="00503EE6">
      <w:trPr>
        <w:trHeight w:hRule="exact" w:val="680"/>
      </w:trPr>
      <w:tc>
        <w:tcPr>
          <w:tcW w:w="864" w:type="dxa"/>
          <w:noWrap/>
        </w:tcPr>
        <w:p w14:paraId="6101AABD" w14:textId="77777777" w:rsidR="002659C5" w:rsidRPr="00913892" w:rsidRDefault="002659C5" w:rsidP="005E4C30">
          <w:pPr>
            <w:pStyle w:val="ekvpaginabild"/>
            <w:jc w:val="both"/>
          </w:pPr>
          <w:r w:rsidRPr="00913892">
            <w:rPr>
              <w:noProof/>
              <w:lang w:eastAsia="de-DE"/>
            </w:rPr>
            <w:drawing>
              <wp:inline distT="0" distB="0" distL="0" distR="0" wp14:anchorId="2D979F1F" wp14:editId="2CC02614">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17FFFC83" w14:textId="4EFB180F" w:rsidR="002659C5" w:rsidRPr="00913892" w:rsidRDefault="002659C5" w:rsidP="00503EE6">
          <w:pPr>
            <w:pStyle w:val="ekvpagina"/>
          </w:pPr>
          <w:r w:rsidRPr="00913892">
            <w:t xml:space="preserve">© Ernst Klett Verlag GmbH, </w:t>
          </w:r>
          <w:r w:rsidR="00CF40E8">
            <w:t>Stuttgart 20</w:t>
          </w:r>
          <w:r w:rsidR="00814FEC">
            <w:t>2</w:t>
          </w:r>
          <w:r w:rsidR="00A654F2">
            <w:t>6</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1FCAA8EE" w14:textId="5691BF15" w:rsidR="002659C5" w:rsidRPr="00913892" w:rsidRDefault="000E200F" w:rsidP="000E200F">
          <w:pPr>
            <w:pStyle w:val="ekvquelle"/>
          </w:pPr>
          <w:r w:rsidRPr="000E200F">
            <w:rPr>
              <w:rStyle w:val="ekvquellefett"/>
            </w:rPr>
            <w:t>Text:</w:t>
          </w:r>
          <w:r>
            <w:t xml:space="preserve"> </w:t>
          </w:r>
          <w:r w:rsidR="00DC3130">
            <w:t>Stefan Lesser</w:t>
          </w:r>
        </w:p>
      </w:tc>
      <w:tc>
        <w:tcPr>
          <w:tcW w:w="813" w:type="dxa"/>
        </w:tcPr>
        <w:p w14:paraId="3CBF7A05" w14:textId="77777777" w:rsidR="002659C5" w:rsidRPr="00913892" w:rsidRDefault="002659C5" w:rsidP="00913892">
          <w:pPr>
            <w:pStyle w:val="ekvpagina"/>
          </w:pPr>
        </w:p>
      </w:tc>
    </w:tr>
  </w:tbl>
  <w:p w14:paraId="0624A103"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66593" w14:textId="77777777" w:rsidR="005D2DC3" w:rsidRDefault="005D2DC3" w:rsidP="003C599D">
      <w:pPr>
        <w:spacing w:line="240" w:lineRule="auto"/>
      </w:pPr>
      <w:r>
        <w:separator/>
      </w:r>
    </w:p>
  </w:footnote>
  <w:footnote w:type="continuationSeparator" w:id="0">
    <w:p w14:paraId="53919740" w14:textId="77777777" w:rsidR="005D2DC3" w:rsidRDefault="005D2DC3"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541E98CE" w14:textId="77777777" w:rsidTr="00431E62">
      <w:trPr>
        <w:trHeight w:hRule="exact" w:val="510"/>
      </w:trPr>
      <w:tc>
        <w:tcPr>
          <w:tcW w:w="818" w:type="dxa"/>
          <w:tcBorders>
            <w:top w:val="nil"/>
            <w:bottom w:val="nil"/>
            <w:right w:val="nil"/>
          </w:tcBorders>
          <w:noWrap/>
          <w:vAlign w:val="bottom"/>
        </w:tcPr>
        <w:p w14:paraId="54E94507" w14:textId="77777777" w:rsidR="00901B13" w:rsidRPr="00AE65F6" w:rsidRDefault="00901B13" w:rsidP="00901B13"/>
      </w:tc>
      <w:tc>
        <w:tcPr>
          <w:tcW w:w="3856" w:type="dxa"/>
          <w:tcBorders>
            <w:top w:val="nil"/>
            <w:left w:val="nil"/>
            <w:bottom w:val="nil"/>
            <w:right w:val="nil"/>
          </w:tcBorders>
          <w:noWrap/>
          <w:vAlign w:val="bottom"/>
        </w:tcPr>
        <w:p w14:paraId="1409F01E"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5C4D68D1"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20BB036D"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417F3CD9" w14:textId="77777777" w:rsidR="00901B13" w:rsidRPr="007C1230" w:rsidRDefault="00901B13" w:rsidP="00901B13">
          <w:pPr>
            <w:pStyle w:val="ekvkvnummer"/>
          </w:pPr>
        </w:p>
      </w:tc>
      <w:tc>
        <w:tcPr>
          <w:tcW w:w="883" w:type="dxa"/>
          <w:tcBorders>
            <w:top w:val="nil"/>
            <w:left w:val="nil"/>
            <w:bottom w:val="nil"/>
          </w:tcBorders>
          <w:noWrap/>
          <w:vAlign w:val="bottom"/>
        </w:tcPr>
        <w:p w14:paraId="494E18EA" w14:textId="77777777" w:rsidR="00901B13" w:rsidRPr="007636A0" w:rsidRDefault="00901B13" w:rsidP="00901B13">
          <w:pPr>
            <w:pStyle w:val="ekvkapitel"/>
            <w:rPr>
              <w:color w:val="FFFFFF" w:themeColor="background1"/>
            </w:rPr>
          </w:pPr>
        </w:p>
      </w:tc>
    </w:tr>
    <w:tr w:rsidR="00901B13" w:rsidRPr="00BF17F2" w14:paraId="14E8F6AC"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34D901D6"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042830E8" w14:textId="77777777" w:rsidR="00901B13" w:rsidRPr="00BF17F2" w:rsidRDefault="00901B13" w:rsidP="00901B13">
          <w:pPr>
            <w:rPr>
              <w:color w:val="FFFFFF" w:themeColor="background1"/>
            </w:rPr>
          </w:pPr>
        </w:p>
      </w:tc>
    </w:tr>
  </w:tbl>
  <w:p w14:paraId="484BD56A" w14:textId="77777777" w:rsidR="00901B13" w:rsidRDefault="00901B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B2176"/>
    <w:multiLevelType w:val="multilevel"/>
    <w:tmpl w:val="CBFAEB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CD66ED"/>
    <w:multiLevelType w:val="multilevel"/>
    <w:tmpl w:val="C84CB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987259"/>
    <w:multiLevelType w:val="multilevel"/>
    <w:tmpl w:val="0116E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B81F5F"/>
    <w:multiLevelType w:val="hybridMultilevel"/>
    <w:tmpl w:val="4DE01B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A276F40"/>
    <w:multiLevelType w:val="hybridMultilevel"/>
    <w:tmpl w:val="544C68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5B42AC9"/>
    <w:multiLevelType w:val="multilevel"/>
    <w:tmpl w:val="2514E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7727F2"/>
    <w:multiLevelType w:val="hybridMultilevel"/>
    <w:tmpl w:val="3E1047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CE33732"/>
    <w:multiLevelType w:val="multilevel"/>
    <w:tmpl w:val="7834D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1973EB"/>
    <w:multiLevelType w:val="hybridMultilevel"/>
    <w:tmpl w:val="1578167C"/>
    <w:lvl w:ilvl="0" w:tplc="303261E4">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3A324F77"/>
    <w:multiLevelType w:val="hybridMultilevel"/>
    <w:tmpl w:val="B442BD38"/>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3B3E09CE"/>
    <w:multiLevelType w:val="hybridMultilevel"/>
    <w:tmpl w:val="D71E364C"/>
    <w:lvl w:ilvl="0" w:tplc="04070011">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3C302B2E"/>
    <w:multiLevelType w:val="hybridMultilevel"/>
    <w:tmpl w:val="AA3C5AA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38C04AB"/>
    <w:multiLevelType w:val="multilevel"/>
    <w:tmpl w:val="7E365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346254"/>
    <w:multiLevelType w:val="hybridMultilevel"/>
    <w:tmpl w:val="0B66B44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C0B1826"/>
    <w:multiLevelType w:val="multilevel"/>
    <w:tmpl w:val="5E44B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FF0FF0"/>
    <w:multiLevelType w:val="multilevel"/>
    <w:tmpl w:val="5808A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D3643FE"/>
    <w:multiLevelType w:val="hybridMultilevel"/>
    <w:tmpl w:val="5D8E90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DA61855"/>
    <w:multiLevelType w:val="multilevel"/>
    <w:tmpl w:val="4148C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845246"/>
    <w:multiLevelType w:val="hybridMultilevel"/>
    <w:tmpl w:val="DB10AE3C"/>
    <w:lvl w:ilvl="0" w:tplc="04070011">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8B3124A"/>
    <w:multiLevelType w:val="multilevel"/>
    <w:tmpl w:val="B096D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75253B"/>
    <w:multiLevelType w:val="hybridMultilevel"/>
    <w:tmpl w:val="2356F2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0F901A3"/>
    <w:multiLevelType w:val="hybridMultilevel"/>
    <w:tmpl w:val="E3CCBF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D7A3DD5"/>
    <w:multiLevelType w:val="hybridMultilevel"/>
    <w:tmpl w:val="CB5C40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BC61F07"/>
    <w:multiLevelType w:val="hybridMultilevel"/>
    <w:tmpl w:val="1FE4CF14"/>
    <w:lvl w:ilvl="0" w:tplc="FFD08B78">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C406421"/>
    <w:multiLevelType w:val="multilevel"/>
    <w:tmpl w:val="2CE6D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5235306">
    <w:abstractNumId w:val="15"/>
  </w:num>
  <w:num w:numId="2" w16cid:durableId="978732799">
    <w:abstractNumId w:val="18"/>
  </w:num>
  <w:num w:numId="3" w16cid:durableId="40986622">
    <w:abstractNumId w:val="13"/>
  </w:num>
  <w:num w:numId="4" w16cid:durableId="840656120">
    <w:abstractNumId w:val="11"/>
  </w:num>
  <w:num w:numId="5" w16cid:durableId="260340350">
    <w:abstractNumId w:val="23"/>
  </w:num>
  <w:num w:numId="6" w16cid:durableId="147869268">
    <w:abstractNumId w:val="19"/>
  </w:num>
  <w:num w:numId="7" w16cid:durableId="713114675">
    <w:abstractNumId w:val="12"/>
  </w:num>
  <w:num w:numId="8" w16cid:durableId="496304751">
    <w:abstractNumId w:val="5"/>
  </w:num>
  <w:num w:numId="9" w16cid:durableId="48188207">
    <w:abstractNumId w:val="0"/>
  </w:num>
  <w:num w:numId="10" w16cid:durableId="488787091">
    <w:abstractNumId w:val="2"/>
  </w:num>
  <w:num w:numId="11" w16cid:durableId="1675719812">
    <w:abstractNumId w:val="14"/>
  </w:num>
  <w:num w:numId="12" w16cid:durableId="1977057161">
    <w:abstractNumId w:val="7"/>
  </w:num>
  <w:num w:numId="13" w16cid:durableId="463933287">
    <w:abstractNumId w:val="24"/>
  </w:num>
  <w:num w:numId="14" w16cid:durableId="1910571800">
    <w:abstractNumId w:val="1"/>
  </w:num>
  <w:num w:numId="15" w16cid:durableId="1596278444">
    <w:abstractNumId w:val="17"/>
  </w:num>
  <w:num w:numId="16" w16cid:durableId="1141919836">
    <w:abstractNumId w:val="4"/>
  </w:num>
  <w:num w:numId="17" w16cid:durableId="1651713150">
    <w:abstractNumId w:val="6"/>
  </w:num>
  <w:num w:numId="18" w16cid:durableId="885869895">
    <w:abstractNumId w:val="20"/>
  </w:num>
  <w:num w:numId="19" w16cid:durableId="1707633563">
    <w:abstractNumId w:val="22"/>
  </w:num>
  <w:num w:numId="20" w16cid:durableId="1547452108">
    <w:abstractNumId w:val="21"/>
  </w:num>
  <w:num w:numId="21" w16cid:durableId="1270771026">
    <w:abstractNumId w:val="10"/>
  </w:num>
  <w:num w:numId="22" w16cid:durableId="1473012849">
    <w:abstractNumId w:val="8"/>
  </w:num>
  <w:num w:numId="23" w16cid:durableId="861903">
    <w:abstractNumId w:val="3"/>
  </w:num>
  <w:num w:numId="24" w16cid:durableId="2111001824">
    <w:abstractNumId w:val="16"/>
  </w:num>
  <w:num w:numId="25" w16cid:durableId="6136798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C99"/>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862AA"/>
    <w:rsid w:val="00090AB2"/>
    <w:rsid w:val="000928AA"/>
    <w:rsid w:val="00092E87"/>
    <w:rsid w:val="000939F5"/>
    <w:rsid w:val="00094F01"/>
    <w:rsid w:val="000A13A1"/>
    <w:rsid w:val="000A4BD4"/>
    <w:rsid w:val="000A51A5"/>
    <w:rsid w:val="000A7892"/>
    <w:rsid w:val="000B098D"/>
    <w:rsid w:val="000B7BD3"/>
    <w:rsid w:val="000C11E0"/>
    <w:rsid w:val="000C6AA8"/>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572C"/>
    <w:rsid w:val="00126C2B"/>
    <w:rsid w:val="00131417"/>
    <w:rsid w:val="001343C4"/>
    <w:rsid w:val="0013745E"/>
    <w:rsid w:val="00137DDD"/>
    <w:rsid w:val="00140765"/>
    <w:rsid w:val="001524C9"/>
    <w:rsid w:val="00161B4B"/>
    <w:rsid w:val="0016330F"/>
    <w:rsid w:val="001641FA"/>
    <w:rsid w:val="0016475A"/>
    <w:rsid w:val="00165ECC"/>
    <w:rsid w:val="00166019"/>
    <w:rsid w:val="00182050"/>
    <w:rsid w:val="00182B7D"/>
    <w:rsid w:val="001845AC"/>
    <w:rsid w:val="00186866"/>
    <w:rsid w:val="001907C5"/>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1E2C"/>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170D"/>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96B06"/>
    <w:rsid w:val="002A25AE"/>
    <w:rsid w:val="002A5E42"/>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00FB"/>
    <w:rsid w:val="00313596"/>
    <w:rsid w:val="00313FD8"/>
    <w:rsid w:val="00314970"/>
    <w:rsid w:val="00315EA9"/>
    <w:rsid w:val="00316831"/>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17D90"/>
    <w:rsid w:val="0042107E"/>
    <w:rsid w:val="004235B1"/>
    <w:rsid w:val="004236D5"/>
    <w:rsid w:val="00424375"/>
    <w:rsid w:val="00424704"/>
    <w:rsid w:val="004372DD"/>
    <w:rsid w:val="00441088"/>
    <w:rsid w:val="00441724"/>
    <w:rsid w:val="0044185E"/>
    <w:rsid w:val="00446431"/>
    <w:rsid w:val="00446AED"/>
    <w:rsid w:val="00454148"/>
    <w:rsid w:val="00455C06"/>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5A09"/>
    <w:rsid w:val="005069C1"/>
    <w:rsid w:val="00510F4C"/>
    <w:rsid w:val="00514229"/>
    <w:rsid w:val="005156EC"/>
    <w:rsid w:val="005168A4"/>
    <w:rsid w:val="0052117E"/>
    <w:rsid w:val="00521B91"/>
    <w:rsid w:val="005252D2"/>
    <w:rsid w:val="00530C92"/>
    <w:rsid w:val="00535AD8"/>
    <w:rsid w:val="00547103"/>
    <w:rsid w:val="00547CAC"/>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C7C69"/>
    <w:rsid w:val="005D2DC3"/>
    <w:rsid w:val="005D2F12"/>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10DBF"/>
    <w:rsid w:val="006201CB"/>
    <w:rsid w:val="00622F6B"/>
    <w:rsid w:val="00627765"/>
    <w:rsid w:val="00627A02"/>
    <w:rsid w:val="0064120B"/>
    <w:rsid w:val="00644BA9"/>
    <w:rsid w:val="0064692C"/>
    <w:rsid w:val="00652E05"/>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7F5CEE"/>
    <w:rsid w:val="008018A8"/>
    <w:rsid w:val="00801B7F"/>
    <w:rsid w:val="00802E02"/>
    <w:rsid w:val="00810225"/>
    <w:rsid w:val="008123BA"/>
    <w:rsid w:val="00814FEC"/>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1B3B"/>
    <w:rsid w:val="00854192"/>
    <w:rsid w:val="00854D77"/>
    <w:rsid w:val="008576F6"/>
    <w:rsid w:val="00857713"/>
    <w:rsid w:val="00857D29"/>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1778C"/>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5FD3"/>
    <w:rsid w:val="00A3685C"/>
    <w:rsid w:val="00A43B4C"/>
    <w:rsid w:val="00A44E01"/>
    <w:rsid w:val="00A478DC"/>
    <w:rsid w:val="00A62578"/>
    <w:rsid w:val="00A654F2"/>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D55F5"/>
    <w:rsid w:val="00AE3D8A"/>
    <w:rsid w:val="00AE65F6"/>
    <w:rsid w:val="00AF053E"/>
    <w:rsid w:val="00AF4C99"/>
    <w:rsid w:val="00AF6867"/>
    <w:rsid w:val="00AF7A5F"/>
    <w:rsid w:val="00B002DF"/>
    <w:rsid w:val="00B00587"/>
    <w:rsid w:val="00B039E8"/>
    <w:rsid w:val="00B03CE9"/>
    <w:rsid w:val="00B043A1"/>
    <w:rsid w:val="00B12500"/>
    <w:rsid w:val="00B14B45"/>
    <w:rsid w:val="00B155E8"/>
    <w:rsid w:val="00B15F75"/>
    <w:rsid w:val="00B2150D"/>
    <w:rsid w:val="00B2194E"/>
    <w:rsid w:val="00B21CF2"/>
    <w:rsid w:val="00B23153"/>
    <w:rsid w:val="00B31F29"/>
    <w:rsid w:val="00B32DAF"/>
    <w:rsid w:val="00B3499A"/>
    <w:rsid w:val="00B37E68"/>
    <w:rsid w:val="00B468CC"/>
    <w:rsid w:val="00B52FB3"/>
    <w:rsid w:val="00B5429C"/>
    <w:rsid w:val="00B54655"/>
    <w:rsid w:val="00B6045F"/>
    <w:rsid w:val="00B6058C"/>
    <w:rsid w:val="00B60BEA"/>
    <w:rsid w:val="00B7242A"/>
    <w:rsid w:val="00B8071F"/>
    <w:rsid w:val="00B82B4E"/>
    <w:rsid w:val="00B8420E"/>
    <w:rsid w:val="00B86F91"/>
    <w:rsid w:val="00B87CF7"/>
    <w:rsid w:val="00B90CE1"/>
    <w:rsid w:val="00B957E9"/>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3AB6"/>
    <w:rsid w:val="00C172AE"/>
    <w:rsid w:val="00C17BE6"/>
    <w:rsid w:val="00C343F5"/>
    <w:rsid w:val="00C35D4D"/>
    <w:rsid w:val="00C40555"/>
    <w:rsid w:val="00C40D51"/>
    <w:rsid w:val="00C41FEC"/>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09E6"/>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5E3E"/>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3130"/>
    <w:rsid w:val="00DC529F"/>
    <w:rsid w:val="00DE0F07"/>
    <w:rsid w:val="00DE287B"/>
    <w:rsid w:val="00DE603B"/>
    <w:rsid w:val="00DE60E8"/>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47CF2"/>
    <w:rsid w:val="00E50679"/>
    <w:rsid w:val="00E50799"/>
    <w:rsid w:val="00E552A4"/>
    <w:rsid w:val="00E604BE"/>
    <w:rsid w:val="00E6190A"/>
    <w:rsid w:val="00E63251"/>
    <w:rsid w:val="00E70A9C"/>
    <w:rsid w:val="00E70C40"/>
    <w:rsid w:val="00E710C7"/>
    <w:rsid w:val="00E71CFE"/>
    <w:rsid w:val="00E80DED"/>
    <w:rsid w:val="00E8369E"/>
    <w:rsid w:val="00E95ED3"/>
    <w:rsid w:val="00EA2224"/>
    <w:rsid w:val="00EA7542"/>
    <w:rsid w:val="00EB2280"/>
    <w:rsid w:val="00EC1621"/>
    <w:rsid w:val="00EC1FF0"/>
    <w:rsid w:val="00EC3CEC"/>
    <w:rsid w:val="00EC662E"/>
    <w:rsid w:val="00ED07FE"/>
    <w:rsid w:val="00ED0B7D"/>
    <w:rsid w:val="00EE049D"/>
    <w:rsid w:val="00EE2721"/>
    <w:rsid w:val="00EE2A0B"/>
    <w:rsid w:val="00EF223B"/>
    <w:rsid w:val="00EF6029"/>
    <w:rsid w:val="00EF6AEE"/>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E52AB"/>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CF22F"/>
  <w15:chartTrackingRefBased/>
  <w15:docId w15:val="{59869D6C-FD08-4565-A9D1-B59C2F117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B23153"/>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 w:type="paragraph" w:customStyle="1" w:styleId="berschriftBlogbeitrag">
    <w:name w:val="Überschrift Blogbeitrag"/>
    <w:basedOn w:val="StandardWeb"/>
    <w:qFormat/>
    <w:rsid w:val="00AF4C99"/>
    <w:pPr>
      <w:tabs>
        <w:tab w:val="clear" w:pos="340"/>
        <w:tab w:val="clear" w:pos="595"/>
        <w:tab w:val="clear" w:pos="851"/>
      </w:tabs>
      <w:spacing w:before="120" w:after="120" w:line="240" w:lineRule="auto"/>
    </w:pPr>
    <w:rPr>
      <w:rFonts w:ascii="Arial" w:eastAsia="Times New Roman" w:hAnsi="Arial"/>
      <w:b/>
      <w:color w:val="5B9BD5" w:themeColor="accent1"/>
      <w:sz w:val="32"/>
      <w:szCs w:val="28"/>
      <w:lang w:eastAsia="de-DE"/>
    </w:rPr>
  </w:style>
  <w:style w:type="paragraph" w:styleId="StandardWeb">
    <w:name w:val="Normal (Web)"/>
    <w:basedOn w:val="Standard"/>
    <w:uiPriority w:val="99"/>
    <w:semiHidden/>
    <w:unhideWhenUsed/>
    <w:rsid w:val="00AF4C99"/>
    <w:rPr>
      <w:rFonts w:ascii="Times New Roman" w:hAnsi="Times New Roman" w:cs="Times New Roman"/>
      <w:sz w:val="24"/>
      <w:szCs w:val="24"/>
    </w:rPr>
  </w:style>
  <w:style w:type="character" w:styleId="Fett">
    <w:name w:val="Strong"/>
    <w:basedOn w:val="Absatz-Standardschriftart"/>
    <w:uiPriority w:val="22"/>
    <w:qFormat/>
    <w:rsid w:val="00E47CF2"/>
    <w:rPr>
      <w:b/>
      <w:bCs/>
    </w:rPr>
  </w:style>
  <w:style w:type="character" w:styleId="Hyperlink">
    <w:name w:val="Hyperlink"/>
    <w:basedOn w:val="Absatz-Standardschriftart"/>
    <w:uiPriority w:val="99"/>
    <w:unhideWhenUsed/>
    <w:rsid w:val="00B23153"/>
    <w:rPr>
      <w:color w:val="0563C1" w:themeColor="hyperlink"/>
      <w:u w:val="single"/>
    </w:rPr>
  </w:style>
  <w:style w:type="character" w:styleId="NichtaufgelsteErwhnung">
    <w:name w:val="Unresolved Mention"/>
    <w:basedOn w:val="Absatz-Standardschriftart"/>
    <w:uiPriority w:val="99"/>
    <w:semiHidden/>
    <w:unhideWhenUsed/>
    <w:rsid w:val="00B231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443</Words>
  <Characters>2794</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2026-02-10T10:38:00Z</dcterms:created>
  <dcterms:modified xsi:type="dcterms:W3CDTF">2026-02-10T10:38:00Z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