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61B46" w14:textId="65D7169A" w:rsidR="00966DF9" w:rsidRDefault="009F7653" w:rsidP="00966DF9">
      <w:pPr>
        <w:pStyle w:val="ekvue2arial"/>
      </w:pPr>
      <w:bookmarkStart w:id="0" w:name="bmStart"/>
      <w:bookmarkEnd w:id="0"/>
      <w:r>
        <w:t xml:space="preserve">Vier </w:t>
      </w:r>
      <w:r w:rsidR="00966DF9">
        <w:t xml:space="preserve">Feste Israels und ihre </w:t>
      </w:r>
      <w:r w:rsidR="008971D4">
        <w:t xml:space="preserve">agrarischen </w:t>
      </w:r>
      <w:r w:rsidR="00966DF9">
        <w:t>Wurzeln</w:t>
      </w:r>
    </w:p>
    <w:p w14:paraId="7411A08A" w14:textId="77777777" w:rsidR="00966DF9" w:rsidRDefault="00966DF9" w:rsidP="00966DF9"/>
    <w:p w14:paraId="4BDE3F2D" w14:textId="36FA3E7B" w:rsidR="00966DF9" w:rsidRDefault="00966DF9" w:rsidP="00966DF9">
      <w:r>
        <w:t xml:space="preserve">Das Klima in Israel lässt sich einteilen in eine </w:t>
      </w:r>
      <w:r w:rsidRPr="00966DF9">
        <w:rPr>
          <w:rStyle w:val="ekvfett"/>
        </w:rPr>
        <w:t xml:space="preserve">Wachstumszeit </w:t>
      </w:r>
      <w:r>
        <w:t xml:space="preserve">mit vermehrtem Niederschlag (Oktober – April bzw. </w:t>
      </w:r>
      <w:proofErr w:type="spellStart"/>
      <w:r>
        <w:t>Cheschwan</w:t>
      </w:r>
      <w:proofErr w:type="spellEnd"/>
      <w:r>
        <w:t xml:space="preserve">, </w:t>
      </w:r>
      <w:proofErr w:type="spellStart"/>
      <w:r>
        <w:t>Kislev</w:t>
      </w:r>
      <w:proofErr w:type="spellEnd"/>
      <w:r>
        <w:t xml:space="preserve">, Tevet, </w:t>
      </w:r>
      <w:proofErr w:type="spellStart"/>
      <w:r>
        <w:t>Schevat</w:t>
      </w:r>
      <w:proofErr w:type="spellEnd"/>
      <w:r>
        <w:t xml:space="preserve">, Adar und Nisan) und eine eher trockene </w:t>
      </w:r>
      <w:r w:rsidRPr="00966DF9">
        <w:rPr>
          <w:rStyle w:val="ekvfett"/>
        </w:rPr>
        <w:t>Erntezeit</w:t>
      </w:r>
      <w:r>
        <w:t xml:space="preserve"> (Mai – September bzw. Ijjar (</w:t>
      </w:r>
      <w:proofErr w:type="spellStart"/>
      <w:r>
        <w:t>Ajar</w:t>
      </w:r>
      <w:proofErr w:type="spellEnd"/>
      <w:r>
        <w:t xml:space="preserve">), Siwan, </w:t>
      </w:r>
      <w:proofErr w:type="spellStart"/>
      <w:r>
        <w:t>Tammuz</w:t>
      </w:r>
      <w:proofErr w:type="spellEnd"/>
      <w:r>
        <w:t xml:space="preserve">, </w:t>
      </w:r>
      <w:proofErr w:type="spellStart"/>
      <w:r>
        <w:t>Av</w:t>
      </w:r>
      <w:proofErr w:type="spellEnd"/>
      <w:r>
        <w:t xml:space="preserve">, Elul und Tischri). Die drei großen Wallfahrtsfeste Pessach, Schawuot (Wochenfest) und </w:t>
      </w:r>
      <w:proofErr w:type="spellStart"/>
      <w:r>
        <w:t>Sukkoth</w:t>
      </w:r>
      <w:proofErr w:type="spellEnd"/>
      <w:r>
        <w:t xml:space="preserve"> (Laubhüttenfest) sowie das </w:t>
      </w:r>
      <w:proofErr w:type="spellStart"/>
      <w:r>
        <w:t>Mazzenfest</w:t>
      </w:r>
      <w:proofErr w:type="spellEnd"/>
      <w:r>
        <w:t xml:space="preserve"> waren ursprünglich Erntefeste, die nachträglich mit Erinnerungen an die Geschichte Israels verbunden wurden. </w:t>
      </w:r>
      <w:r w:rsidR="008971D4">
        <w:br/>
        <w:t xml:space="preserve">Die übrigen jüdischen Feste wie das Neujahrsfest (Rosch ha-Schana), der Versöhnungstag (Jom Kippur), </w:t>
      </w:r>
      <w:r w:rsidR="000245A4">
        <w:br/>
      </w:r>
      <w:r w:rsidR="008971D4">
        <w:t>das Purim- oder das Chanukka-Fest haben kaum bis gar keine agrarischen Wurzeln.</w:t>
      </w:r>
    </w:p>
    <w:p w14:paraId="4EC1A055" w14:textId="77777777" w:rsidR="008971D4" w:rsidRDefault="008971D4" w:rsidP="00966DF9"/>
    <w:tbl>
      <w:tblPr>
        <w:tblW w:w="9356" w:type="dxa"/>
        <w:tblLayout w:type="fixed"/>
        <w:tblCellMar>
          <w:left w:w="0" w:type="dxa"/>
          <w:right w:w="0" w:type="dxa"/>
        </w:tblCellMar>
        <w:tblLook w:val="01E0" w:firstRow="1" w:lastRow="1" w:firstColumn="1" w:lastColumn="1" w:noHBand="0" w:noVBand="0"/>
      </w:tblPr>
      <w:tblGrid>
        <w:gridCol w:w="2835"/>
        <w:gridCol w:w="3119"/>
        <w:gridCol w:w="3402"/>
      </w:tblGrid>
      <w:tr w:rsidR="00966DF9" w:rsidRPr="003C39DC" w14:paraId="123C3B96" w14:textId="77777777" w:rsidTr="00E217E4">
        <w:trPr>
          <w:trHeight w:val="284"/>
        </w:trPr>
        <w:tc>
          <w:tcPr>
            <w:tcW w:w="2835" w:type="dxa"/>
            <w:tcBorders>
              <w:bottom w:val="single" w:sz="8" w:space="0" w:color="333333"/>
              <w:right w:val="single" w:sz="4" w:space="0" w:color="333333"/>
            </w:tcBorders>
            <w:shd w:val="clear" w:color="auto" w:fill="FFFFFF" w:themeFill="background1"/>
            <w:tcMar>
              <w:top w:w="28" w:type="dxa"/>
              <w:left w:w="28" w:type="dxa"/>
              <w:bottom w:w="28" w:type="dxa"/>
              <w:right w:w="28" w:type="dxa"/>
            </w:tcMar>
          </w:tcPr>
          <w:p w14:paraId="02DFBBCF" w14:textId="01B7B727" w:rsidR="00966DF9" w:rsidRPr="00E217E4" w:rsidRDefault="00966DF9" w:rsidP="00E217E4">
            <w:pPr>
              <w:pStyle w:val="ekvtabellelinks"/>
              <w:rPr>
                <w:rStyle w:val="ekvfett"/>
              </w:rPr>
            </w:pPr>
            <w:r w:rsidRPr="00E217E4">
              <w:rPr>
                <w:rStyle w:val="ekvfett"/>
              </w:rPr>
              <w:t>Fest</w:t>
            </w:r>
            <w:r w:rsidR="0059248B" w:rsidRPr="00E217E4">
              <w:rPr>
                <w:rStyle w:val="ekvfett"/>
              </w:rPr>
              <w:t xml:space="preserve"> und Positionierung im Jahreslauf</w:t>
            </w:r>
          </w:p>
        </w:tc>
        <w:tc>
          <w:tcPr>
            <w:tcW w:w="3119" w:type="dxa"/>
            <w:tcBorders>
              <w:left w:val="single" w:sz="4" w:space="0" w:color="333333"/>
              <w:bottom w:val="single" w:sz="8" w:space="0" w:color="333333"/>
            </w:tcBorders>
            <w:shd w:val="clear" w:color="auto" w:fill="FFFFFF" w:themeFill="background1"/>
            <w:tcMar>
              <w:top w:w="28" w:type="dxa"/>
              <w:left w:w="28" w:type="dxa"/>
              <w:bottom w:w="28" w:type="dxa"/>
              <w:right w:w="28" w:type="dxa"/>
            </w:tcMar>
          </w:tcPr>
          <w:p w14:paraId="5C34A247" w14:textId="058C5ED0" w:rsidR="00966DF9" w:rsidRPr="00E217E4" w:rsidRDefault="00966DF9" w:rsidP="00E217E4">
            <w:pPr>
              <w:pStyle w:val="ekvtabellelinks"/>
              <w:rPr>
                <w:rStyle w:val="ekvfett"/>
              </w:rPr>
            </w:pPr>
            <w:r w:rsidRPr="00E217E4">
              <w:rPr>
                <w:rStyle w:val="ekvfett"/>
              </w:rPr>
              <w:t>Landwirtschaftliche Wurzeln</w:t>
            </w:r>
          </w:p>
        </w:tc>
        <w:tc>
          <w:tcPr>
            <w:tcW w:w="3402" w:type="dxa"/>
            <w:tcBorders>
              <w:left w:val="single" w:sz="4" w:space="0" w:color="333333"/>
              <w:bottom w:val="single" w:sz="8" w:space="0" w:color="333333"/>
            </w:tcBorders>
            <w:shd w:val="clear" w:color="auto" w:fill="FFFFFF" w:themeFill="background1"/>
            <w:tcMar>
              <w:top w:w="28" w:type="dxa"/>
              <w:left w:w="28" w:type="dxa"/>
              <w:bottom w:w="28" w:type="dxa"/>
              <w:right w:w="28" w:type="dxa"/>
            </w:tcMar>
          </w:tcPr>
          <w:p w14:paraId="6A4272D5" w14:textId="734363BA" w:rsidR="00966DF9" w:rsidRPr="00E217E4" w:rsidRDefault="00966DF9" w:rsidP="00E217E4">
            <w:pPr>
              <w:pStyle w:val="ekvtabellelinks"/>
              <w:rPr>
                <w:rStyle w:val="ekvfett"/>
              </w:rPr>
            </w:pPr>
            <w:r w:rsidRPr="00E217E4">
              <w:rPr>
                <w:rStyle w:val="ekvfett"/>
              </w:rPr>
              <w:t>Theologische Deutung</w:t>
            </w:r>
          </w:p>
        </w:tc>
      </w:tr>
      <w:tr w:rsidR="00966DF9" w:rsidRPr="003C39DC" w14:paraId="43213360" w14:textId="77777777" w:rsidTr="00E217E4">
        <w:trPr>
          <w:trHeight w:val="284"/>
        </w:trPr>
        <w:tc>
          <w:tcPr>
            <w:tcW w:w="2835" w:type="dxa"/>
            <w:tcBorders>
              <w:top w:val="single" w:sz="8" w:space="0" w:color="333333"/>
              <w:bottom w:val="single" w:sz="4" w:space="0" w:color="333333"/>
              <w:right w:val="single" w:sz="4" w:space="0" w:color="333333"/>
            </w:tcBorders>
            <w:tcMar>
              <w:top w:w="28" w:type="dxa"/>
              <w:left w:w="28" w:type="dxa"/>
              <w:bottom w:w="28" w:type="dxa"/>
              <w:right w:w="28" w:type="dxa"/>
            </w:tcMar>
          </w:tcPr>
          <w:p w14:paraId="2BC693AE" w14:textId="30193FCB" w:rsidR="00966DF9" w:rsidRPr="003C39DC" w:rsidRDefault="00966DF9" w:rsidP="00E217E4">
            <w:pPr>
              <w:pStyle w:val="ekvtabellelinks"/>
            </w:pPr>
            <w:r w:rsidRPr="00E217E4">
              <w:rPr>
                <w:rStyle w:val="ekvfett"/>
              </w:rPr>
              <w:t>Pessach (Passah)</w:t>
            </w:r>
            <w:r w:rsidRPr="00966DF9">
              <w:t xml:space="preserve"> – Frühjahr (15.–21. Nisan)</w:t>
            </w:r>
          </w:p>
        </w:tc>
        <w:tc>
          <w:tcPr>
            <w:tcW w:w="3119" w:type="dxa"/>
            <w:tcBorders>
              <w:top w:val="single" w:sz="8" w:space="0" w:color="333333"/>
              <w:left w:val="single" w:sz="4" w:space="0" w:color="333333"/>
              <w:bottom w:val="single" w:sz="4" w:space="0" w:color="333333"/>
            </w:tcBorders>
            <w:tcMar>
              <w:top w:w="28" w:type="dxa"/>
              <w:left w:w="28" w:type="dxa"/>
              <w:bottom w:w="28" w:type="dxa"/>
              <w:right w:w="28" w:type="dxa"/>
            </w:tcMar>
          </w:tcPr>
          <w:p w14:paraId="2C295DAE" w14:textId="379E6D71" w:rsidR="00966DF9" w:rsidRDefault="004F4C92" w:rsidP="000245A4">
            <w:pPr>
              <w:pStyle w:val="ekvtabellelinks"/>
              <w:tabs>
                <w:tab w:val="clear" w:pos="340"/>
                <w:tab w:val="left" w:pos="255"/>
              </w:tabs>
              <w:ind w:left="255" w:hanging="198"/>
            </w:pPr>
            <w:r w:rsidRPr="006A5611">
              <w:rPr>
                <w:rStyle w:val="ekvsymbolaufzhlung"/>
              </w:rPr>
              <w:sym w:font="Wingdings" w:char="F06C"/>
            </w:r>
            <w:r w:rsidRPr="00C17BE6">
              <w:tab/>
            </w:r>
            <w:r>
              <w:t>u</w:t>
            </w:r>
            <w:r w:rsidR="00966DF9">
              <w:t xml:space="preserve">rsprünglich wohl ein </w:t>
            </w:r>
            <w:r w:rsidR="00966DF9" w:rsidRPr="00E217E4">
              <w:rPr>
                <w:rStyle w:val="ekvfett"/>
              </w:rPr>
              <w:t>Hirtenfest</w:t>
            </w:r>
          </w:p>
          <w:p w14:paraId="49FBA87D" w14:textId="66126B27" w:rsidR="00966DF9" w:rsidRDefault="004F4C92" w:rsidP="000245A4">
            <w:pPr>
              <w:pStyle w:val="ekvtabellelinks"/>
              <w:tabs>
                <w:tab w:val="clear" w:pos="340"/>
                <w:tab w:val="left" w:pos="255"/>
              </w:tabs>
              <w:ind w:left="255" w:hanging="198"/>
            </w:pPr>
            <w:r w:rsidRPr="006A5611">
              <w:rPr>
                <w:rStyle w:val="ekvsymbolaufzhlung"/>
              </w:rPr>
              <w:sym w:font="Wingdings" w:char="F06C"/>
            </w:r>
            <w:r w:rsidRPr="00C17BE6">
              <w:tab/>
            </w:r>
            <w:r w:rsidR="00966DF9">
              <w:t xml:space="preserve">Schutzritual für die Herden </w:t>
            </w:r>
            <w:proofErr w:type="spellStart"/>
            <w:r w:rsidR="00966DF9">
              <w:t>nachder</w:t>
            </w:r>
            <w:proofErr w:type="spellEnd"/>
            <w:r w:rsidR="00966DF9">
              <w:t xml:space="preserve"> Zeit, in der junge Lämmchen geworfen werden</w:t>
            </w:r>
          </w:p>
          <w:p w14:paraId="7C1C37CC" w14:textId="6655F2AC" w:rsidR="00966DF9" w:rsidRPr="003C39DC" w:rsidRDefault="004F4C92" w:rsidP="000245A4">
            <w:pPr>
              <w:pStyle w:val="ekvtabellelinks"/>
              <w:tabs>
                <w:tab w:val="clear" w:pos="340"/>
                <w:tab w:val="left" w:pos="255"/>
              </w:tabs>
              <w:ind w:left="255" w:hanging="198"/>
            </w:pPr>
            <w:r w:rsidRPr="006A5611">
              <w:rPr>
                <w:rStyle w:val="ekvsymbolaufzhlung"/>
              </w:rPr>
              <w:sym w:font="Wingdings" w:char="F06C"/>
            </w:r>
            <w:r w:rsidRPr="00C17BE6">
              <w:tab/>
            </w:r>
            <w:r w:rsidR="00966DF9">
              <w:t>Lammopfer als Ritual, das Unheil abwehren</w:t>
            </w:r>
            <w:r>
              <w:t xml:space="preserve"> soll</w:t>
            </w:r>
          </w:p>
        </w:tc>
        <w:tc>
          <w:tcPr>
            <w:tcW w:w="3402" w:type="dxa"/>
            <w:tcBorders>
              <w:top w:val="single" w:sz="8" w:space="0" w:color="333333"/>
              <w:left w:val="single" w:sz="4" w:space="0" w:color="333333"/>
              <w:bottom w:val="single" w:sz="4" w:space="0" w:color="333333"/>
            </w:tcBorders>
            <w:tcMar>
              <w:top w:w="28" w:type="dxa"/>
              <w:left w:w="28" w:type="dxa"/>
              <w:bottom w:w="28" w:type="dxa"/>
              <w:right w:w="28" w:type="dxa"/>
            </w:tcMar>
          </w:tcPr>
          <w:p w14:paraId="3448B728" w14:textId="61C1E67F" w:rsidR="00966DF9" w:rsidRDefault="009F7653" w:rsidP="00E217E4">
            <w:pPr>
              <w:pStyle w:val="ekvtabellelinks"/>
            </w:pPr>
            <w:r>
              <w:t>*</w:t>
            </w:r>
            <w:r w:rsidR="00966DF9" w:rsidRPr="00966DF9">
              <w:t xml:space="preserve">Ex </w:t>
            </w:r>
            <w:r w:rsidR="00AE616F">
              <w:t>12,1</w:t>
            </w:r>
            <w:r w:rsidR="004057CD">
              <w:t>–</w:t>
            </w:r>
            <w:r w:rsidR="00AE616F">
              <w:t>14</w:t>
            </w:r>
            <w:r w:rsidR="004057CD">
              <w:t>.</w:t>
            </w:r>
            <w:r w:rsidR="00AE616F">
              <w:t>21</w:t>
            </w:r>
            <w:r w:rsidR="004057CD">
              <w:t>–</w:t>
            </w:r>
            <w:r w:rsidR="00AE616F">
              <w:t>28</w:t>
            </w:r>
          </w:p>
          <w:p w14:paraId="717DA3B7" w14:textId="3106BF8F" w:rsidR="00966DF9" w:rsidRPr="00E217E4" w:rsidRDefault="004F4C92" w:rsidP="000245A4">
            <w:pPr>
              <w:pStyle w:val="ekvtabellelinks"/>
              <w:ind w:left="253" w:hanging="141"/>
              <w:rPr>
                <w:rStyle w:val="ekvfett"/>
              </w:rPr>
            </w:pPr>
            <w:r w:rsidRPr="006A5611">
              <w:rPr>
                <w:rStyle w:val="ekvsymbolaufzhlung"/>
              </w:rPr>
              <w:sym w:font="Wingdings" w:char="F06C"/>
            </w:r>
            <w:r w:rsidRPr="00C17BE6">
              <w:tab/>
            </w:r>
            <w:r w:rsidR="00966DF9">
              <w:t xml:space="preserve">Erinnerung an den </w:t>
            </w:r>
            <w:r w:rsidR="00966DF9" w:rsidRPr="00E217E4">
              <w:rPr>
                <w:rStyle w:val="ekvfett"/>
              </w:rPr>
              <w:t xml:space="preserve">Auszug aus </w:t>
            </w:r>
            <w:r w:rsidR="00E217E4">
              <w:rPr>
                <w:rStyle w:val="ekvfett"/>
              </w:rPr>
              <w:t>Ä</w:t>
            </w:r>
            <w:r w:rsidR="00966DF9" w:rsidRPr="00E217E4">
              <w:rPr>
                <w:rStyle w:val="ekvfett"/>
              </w:rPr>
              <w:t>gypten</w:t>
            </w:r>
          </w:p>
          <w:p w14:paraId="61959926" w14:textId="18510D7C" w:rsidR="00966DF9" w:rsidRPr="003C39DC" w:rsidRDefault="004F4C92" w:rsidP="000245A4">
            <w:pPr>
              <w:pStyle w:val="ekvtabellelinks"/>
              <w:ind w:left="253" w:hanging="141"/>
            </w:pPr>
            <w:r w:rsidRPr="006A5611">
              <w:rPr>
                <w:rStyle w:val="ekvsymbolaufzhlung"/>
              </w:rPr>
              <w:sym w:font="Wingdings" w:char="F06C"/>
            </w:r>
            <w:r w:rsidRPr="00C17BE6">
              <w:tab/>
            </w:r>
            <w:r w:rsidR="00966DF9">
              <w:t>Gott „geht vorüber“ (</w:t>
            </w:r>
            <w:proofErr w:type="spellStart"/>
            <w:r w:rsidR="00966DF9">
              <w:t>passah</w:t>
            </w:r>
            <w:proofErr w:type="spellEnd"/>
            <w:r w:rsidR="00966DF9">
              <w:t>) an den Häusern Israels</w:t>
            </w:r>
          </w:p>
        </w:tc>
      </w:tr>
      <w:tr w:rsidR="00966DF9" w:rsidRPr="003C39DC" w14:paraId="1AB78A87" w14:textId="77777777" w:rsidTr="00E217E4">
        <w:trPr>
          <w:trHeight w:val="284"/>
        </w:trPr>
        <w:tc>
          <w:tcPr>
            <w:tcW w:w="2835" w:type="dxa"/>
            <w:tcBorders>
              <w:top w:val="single" w:sz="4" w:space="0" w:color="333333"/>
              <w:bottom w:val="single" w:sz="4" w:space="0" w:color="333333"/>
              <w:right w:val="single" w:sz="4" w:space="0" w:color="333333"/>
            </w:tcBorders>
            <w:tcMar>
              <w:top w:w="28" w:type="dxa"/>
              <w:left w:w="28" w:type="dxa"/>
              <w:bottom w:w="28" w:type="dxa"/>
              <w:right w:w="28" w:type="dxa"/>
            </w:tcMar>
          </w:tcPr>
          <w:p w14:paraId="6BBCCB48" w14:textId="3636EDFB" w:rsidR="00966DF9" w:rsidRPr="003C39DC" w:rsidRDefault="00966DF9" w:rsidP="00E217E4">
            <w:pPr>
              <w:pStyle w:val="ekvtabellelinks"/>
            </w:pPr>
            <w:r w:rsidRPr="00E217E4">
              <w:rPr>
                <w:rStyle w:val="ekvfett"/>
              </w:rPr>
              <w:t xml:space="preserve">Fest der </w:t>
            </w:r>
            <w:r w:rsidR="0059248B" w:rsidRPr="00E217E4">
              <w:rPr>
                <w:rStyle w:val="ekvfett"/>
              </w:rPr>
              <w:t>u</w:t>
            </w:r>
            <w:r w:rsidRPr="00E217E4">
              <w:rPr>
                <w:rStyle w:val="ekvfett"/>
              </w:rPr>
              <w:t>ngesäuerten Brote (Mazzen)</w:t>
            </w:r>
            <w:r w:rsidR="00F4245F">
              <w:t xml:space="preserve"> – im </w:t>
            </w:r>
            <w:r w:rsidRPr="00966DF9">
              <w:t>Monat Nisan</w:t>
            </w:r>
          </w:p>
        </w:tc>
        <w:tc>
          <w:tcPr>
            <w:tcW w:w="3119" w:type="dxa"/>
            <w:tcBorders>
              <w:top w:val="single" w:sz="4" w:space="0" w:color="333333"/>
              <w:left w:val="single" w:sz="4" w:space="0" w:color="333333"/>
              <w:bottom w:val="single" w:sz="4" w:space="0" w:color="333333"/>
            </w:tcBorders>
            <w:tcMar>
              <w:top w:w="28" w:type="dxa"/>
              <w:left w:w="28" w:type="dxa"/>
              <w:bottom w:w="28" w:type="dxa"/>
              <w:right w:w="28" w:type="dxa"/>
            </w:tcMar>
          </w:tcPr>
          <w:p w14:paraId="2466C4AA" w14:textId="5503AB6F" w:rsidR="00966DF9" w:rsidRDefault="004F4C92" w:rsidP="00E217E4">
            <w:pPr>
              <w:pStyle w:val="ekvtabellelinks"/>
              <w:ind w:left="255" w:hanging="198"/>
            </w:pPr>
            <w:r w:rsidRPr="006A5611">
              <w:rPr>
                <w:rStyle w:val="ekvsymbolaufzhlung"/>
              </w:rPr>
              <w:sym w:font="Wingdings" w:char="F06C"/>
            </w:r>
            <w:r w:rsidRPr="00C17BE6">
              <w:tab/>
            </w:r>
            <w:r w:rsidR="00966DF9">
              <w:t xml:space="preserve">Beginn der </w:t>
            </w:r>
            <w:r w:rsidR="00966DF9" w:rsidRPr="00E217E4">
              <w:rPr>
                <w:rStyle w:val="ekvfett"/>
              </w:rPr>
              <w:t>Gerstenernte</w:t>
            </w:r>
          </w:p>
          <w:p w14:paraId="44CF6817" w14:textId="5B38F6FE" w:rsidR="00966DF9" w:rsidRPr="003C39DC" w:rsidRDefault="004F4C92" w:rsidP="00E217E4">
            <w:pPr>
              <w:pStyle w:val="ekvtabellelinks"/>
              <w:ind w:left="255" w:hanging="198"/>
            </w:pPr>
            <w:r w:rsidRPr="006A5611">
              <w:rPr>
                <w:rStyle w:val="ekvsymbolaufzhlung"/>
              </w:rPr>
              <w:sym w:font="Wingdings" w:char="F06C"/>
            </w:r>
            <w:r w:rsidRPr="00C17BE6">
              <w:tab/>
            </w:r>
            <w:r>
              <w:t>s</w:t>
            </w:r>
            <w:r w:rsidR="00966DF9">
              <w:t>etzt Sesshaftigkeit voraus (Getreideanbau!), Wurzeln in Kanaan</w:t>
            </w:r>
          </w:p>
        </w:tc>
        <w:tc>
          <w:tcPr>
            <w:tcW w:w="3402" w:type="dxa"/>
            <w:tcBorders>
              <w:top w:val="single" w:sz="4" w:space="0" w:color="333333"/>
              <w:left w:val="single" w:sz="4" w:space="0" w:color="333333"/>
              <w:bottom w:val="single" w:sz="4" w:space="0" w:color="333333"/>
            </w:tcBorders>
            <w:tcMar>
              <w:top w:w="28" w:type="dxa"/>
              <w:left w:w="28" w:type="dxa"/>
              <w:bottom w:w="28" w:type="dxa"/>
              <w:right w:w="28" w:type="dxa"/>
            </w:tcMar>
          </w:tcPr>
          <w:p w14:paraId="58694A20" w14:textId="4209424F" w:rsidR="00966DF9" w:rsidRDefault="00966DF9" w:rsidP="00E217E4">
            <w:pPr>
              <w:pStyle w:val="ekvtabellelinks"/>
            </w:pPr>
            <w:r>
              <w:t>Ex 13,</w:t>
            </w:r>
            <w:r w:rsidR="00A74910">
              <w:t>1</w:t>
            </w:r>
            <w:r w:rsidR="004057CD">
              <w:t>–</w:t>
            </w:r>
            <w:r w:rsidR="00A74910">
              <w:t>4</w:t>
            </w:r>
            <w:r w:rsidR="004057CD">
              <w:t>.</w:t>
            </w:r>
            <w:r w:rsidR="00AE616F">
              <w:t>5</w:t>
            </w:r>
            <w:r w:rsidR="004057CD">
              <w:t>–</w:t>
            </w:r>
            <w:r w:rsidR="00AE616F">
              <w:t>8</w:t>
            </w:r>
            <w:r>
              <w:t>; Ex 23,</w:t>
            </w:r>
            <w:r w:rsidR="00A74910">
              <w:t>14</w:t>
            </w:r>
            <w:r w:rsidR="004057CD">
              <w:t>–</w:t>
            </w:r>
            <w:r>
              <w:t>15</w:t>
            </w:r>
          </w:p>
          <w:p w14:paraId="63D91996" w14:textId="22B38C8A" w:rsidR="00966DF9" w:rsidRPr="003C39DC" w:rsidRDefault="004F4C92" w:rsidP="000245A4">
            <w:pPr>
              <w:pStyle w:val="ekvtabellelinks"/>
              <w:tabs>
                <w:tab w:val="clear" w:pos="340"/>
              </w:tabs>
              <w:ind w:left="253" w:hanging="141"/>
            </w:pPr>
            <w:r w:rsidRPr="006A5611">
              <w:rPr>
                <w:rStyle w:val="ekvsymbolaufzhlung"/>
              </w:rPr>
              <w:sym w:font="Wingdings" w:char="F06C"/>
            </w:r>
            <w:r w:rsidRPr="00C17BE6">
              <w:tab/>
            </w:r>
            <w:r w:rsidR="00966DF9">
              <w:t xml:space="preserve">Erinnerung an die </w:t>
            </w:r>
            <w:r w:rsidR="00966DF9" w:rsidRPr="00E217E4">
              <w:rPr>
                <w:rStyle w:val="ekvfett"/>
              </w:rPr>
              <w:t>Eile des Auszugs</w:t>
            </w:r>
            <w:r w:rsidR="00966DF9">
              <w:t xml:space="preserve"> (Brot ohne </w:t>
            </w:r>
            <w:proofErr w:type="spellStart"/>
            <w:r w:rsidR="00966DF9">
              <w:t>Gärzeit</w:t>
            </w:r>
            <w:proofErr w:type="spellEnd"/>
            <w:r w:rsidR="00966DF9">
              <w:t xml:space="preserve"> und ohne Sauerteig)</w:t>
            </w:r>
          </w:p>
        </w:tc>
      </w:tr>
      <w:tr w:rsidR="00966DF9" w:rsidRPr="003C39DC" w14:paraId="3D99D0C7" w14:textId="77777777" w:rsidTr="00E217E4">
        <w:trPr>
          <w:trHeight w:val="284"/>
        </w:trPr>
        <w:tc>
          <w:tcPr>
            <w:tcW w:w="2835" w:type="dxa"/>
            <w:tcBorders>
              <w:top w:val="single" w:sz="4" w:space="0" w:color="333333"/>
              <w:bottom w:val="single" w:sz="4" w:space="0" w:color="333333"/>
              <w:right w:val="single" w:sz="4" w:space="0" w:color="333333"/>
            </w:tcBorders>
            <w:tcMar>
              <w:top w:w="28" w:type="dxa"/>
              <w:left w:w="28" w:type="dxa"/>
              <w:bottom w:w="28" w:type="dxa"/>
              <w:right w:w="28" w:type="dxa"/>
            </w:tcMar>
          </w:tcPr>
          <w:p w14:paraId="53EE55B0" w14:textId="5599BFFF" w:rsidR="00966DF9" w:rsidRPr="00966DF9" w:rsidRDefault="00966DF9" w:rsidP="00E217E4">
            <w:pPr>
              <w:pStyle w:val="ekvtabellelinks"/>
            </w:pPr>
            <w:r w:rsidRPr="00E217E4">
              <w:rPr>
                <w:rStyle w:val="ekvfett"/>
              </w:rPr>
              <w:t>Schawuot (Sieben-Wochenfest)</w:t>
            </w:r>
            <w:r w:rsidR="0059248B">
              <w:t xml:space="preserve"> – s</w:t>
            </w:r>
            <w:r w:rsidRPr="00966DF9">
              <w:t xml:space="preserve">ieben Wochen nach Pessach </w:t>
            </w:r>
            <w:r w:rsidR="0059248B">
              <w:t>(</w:t>
            </w:r>
            <w:r w:rsidRPr="00966DF9">
              <w:t>Ex 34,22</w:t>
            </w:r>
            <w:r w:rsidR="0059248B">
              <w:t>)</w:t>
            </w:r>
          </w:p>
        </w:tc>
        <w:tc>
          <w:tcPr>
            <w:tcW w:w="3119" w:type="dxa"/>
            <w:tcBorders>
              <w:top w:val="single" w:sz="4" w:space="0" w:color="333333"/>
              <w:left w:val="single" w:sz="4" w:space="0" w:color="333333"/>
              <w:bottom w:val="single" w:sz="4" w:space="0" w:color="333333"/>
            </w:tcBorders>
            <w:tcMar>
              <w:top w:w="28" w:type="dxa"/>
              <w:left w:w="28" w:type="dxa"/>
              <w:bottom w:w="28" w:type="dxa"/>
              <w:right w:w="28" w:type="dxa"/>
            </w:tcMar>
          </w:tcPr>
          <w:p w14:paraId="7959D137" w14:textId="38AEA459" w:rsidR="00966DF9" w:rsidRDefault="00966DF9" w:rsidP="00E217E4">
            <w:pPr>
              <w:pStyle w:val="ekvtabellelinks"/>
              <w:tabs>
                <w:tab w:val="clear" w:pos="340"/>
                <w:tab w:val="left" w:pos="255"/>
              </w:tabs>
            </w:pPr>
            <w:r w:rsidRPr="006A5611">
              <w:rPr>
                <w:rStyle w:val="ekvsymbolaufzhlung"/>
              </w:rPr>
              <w:sym w:font="Wingdings" w:char="F06C"/>
            </w:r>
            <w:r w:rsidRPr="00C17BE6">
              <w:tab/>
            </w:r>
            <w:r w:rsidRPr="00E217E4">
              <w:rPr>
                <w:rStyle w:val="ekvfett"/>
              </w:rPr>
              <w:t>Weizenernte</w:t>
            </w:r>
          </w:p>
          <w:p w14:paraId="05BC18FB" w14:textId="7872A4DE" w:rsidR="00966DF9" w:rsidRDefault="004F4C92" w:rsidP="00E217E4">
            <w:pPr>
              <w:pStyle w:val="ekvtabellelinks"/>
              <w:tabs>
                <w:tab w:val="clear" w:pos="340"/>
                <w:tab w:val="left" w:pos="255"/>
              </w:tabs>
            </w:pPr>
            <w:r w:rsidRPr="006A5611">
              <w:rPr>
                <w:rStyle w:val="ekvsymbolaufzhlung"/>
              </w:rPr>
              <w:sym w:font="Wingdings" w:char="F06C"/>
            </w:r>
            <w:r w:rsidRPr="00C17BE6">
              <w:tab/>
            </w:r>
            <w:r w:rsidR="00966DF9">
              <w:t>Dankfest für die Ernte</w:t>
            </w:r>
          </w:p>
          <w:p w14:paraId="795A2557" w14:textId="400E25D4" w:rsidR="00966DF9" w:rsidRDefault="004F4C92" w:rsidP="00E217E4">
            <w:pPr>
              <w:pStyle w:val="ekvtabellelinks"/>
              <w:tabs>
                <w:tab w:val="clear" w:pos="340"/>
                <w:tab w:val="left" w:pos="255"/>
              </w:tabs>
            </w:pPr>
            <w:r w:rsidRPr="006A5611">
              <w:rPr>
                <w:rStyle w:val="ekvsymbolaufzhlung"/>
              </w:rPr>
              <w:sym w:font="Wingdings" w:char="F06C"/>
            </w:r>
            <w:r w:rsidRPr="00C17BE6">
              <w:tab/>
            </w:r>
            <w:r w:rsidR="00966DF9">
              <w:t>Darbringung der Erstlingsfrüchte</w:t>
            </w:r>
          </w:p>
        </w:tc>
        <w:tc>
          <w:tcPr>
            <w:tcW w:w="3402" w:type="dxa"/>
            <w:tcBorders>
              <w:top w:val="single" w:sz="4" w:space="0" w:color="333333"/>
              <w:left w:val="single" w:sz="4" w:space="0" w:color="333333"/>
              <w:bottom w:val="single" w:sz="4" w:space="0" w:color="333333"/>
            </w:tcBorders>
            <w:tcMar>
              <w:top w:w="28" w:type="dxa"/>
              <w:left w:w="28" w:type="dxa"/>
              <w:bottom w:w="28" w:type="dxa"/>
              <w:right w:w="28" w:type="dxa"/>
            </w:tcMar>
          </w:tcPr>
          <w:p w14:paraId="191BB322" w14:textId="77777777" w:rsidR="004057CD" w:rsidRDefault="00FB53B3" w:rsidP="00E217E4">
            <w:pPr>
              <w:pStyle w:val="ekvtabellelinks"/>
            </w:pPr>
            <w:r w:rsidRPr="00A74910">
              <w:t xml:space="preserve">Ex 19; </w:t>
            </w:r>
            <w:r w:rsidR="004057CD">
              <w:t xml:space="preserve">Ex </w:t>
            </w:r>
            <w:r w:rsidRPr="00A74910">
              <w:t>20,1</w:t>
            </w:r>
            <w:r w:rsidR="004057CD">
              <w:t>–</w:t>
            </w:r>
            <w:r w:rsidRPr="00A74910">
              <w:t>21</w:t>
            </w:r>
          </w:p>
          <w:p w14:paraId="125763BC" w14:textId="2D360474" w:rsidR="00966DF9" w:rsidRDefault="004057CD" w:rsidP="00E217E4">
            <w:pPr>
              <w:pStyle w:val="ekvtabellelinks"/>
              <w:ind w:left="253" w:hanging="196"/>
            </w:pPr>
            <w:r w:rsidRPr="006A5611">
              <w:rPr>
                <w:rStyle w:val="ekvsymbolaufzhlung"/>
              </w:rPr>
              <w:sym w:font="Wingdings" w:char="F06C"/>
            </w:r>
            <w:r w:rsidRPr="00C17BE6">
              <w:tab/>
            </w:r>
            <w:r w:rsidR="00966DF9" w:rsidRPr="00966DF9">
              <w:t xml:space="preserve">Erinnerung an die </w:t>
            </w:r>
            <w:r w:rsidR="00966DF9" w:rsidRPr="00E217E4">
              <w:rPr>
                <w:rStyle w:val="ekvfett"/>
              </w:rPr>
              <w:t>Übergabe der Tora am Sinai</w:t>
            </w:r>
          </w:p>
        </w:tc>
      </w:tr>
      <w:tr w:rsidR="00966DF9" w:rsidRPr="003C39DC" w14:paraId="386E367F" w14:textId="77777777" w:rsidTr="00E217E4">
        <w:trPr>
          <w:trHeight w:val="284"/>
        </w:trPr>
        <w:tc>
          <w:tcPr>
            <w:tcW w:w="2835" w:type="dxa"/>
            <w:tcBorders>
              <w:top w:val="single" w:sz="4" w:space="0" w:color="333333"/>
              <w:bottom w:val="single" w:sz="4" w:space="0" w:color="333333"/>
              <w:right w:val="single" w:sz="4" w:space="0" w:color="333333"/>
            </w:tcBorders>
            <w:tcMar>
              <w:top w:w="28" w:type="dxa"/>
              <w:left w:w="28" w:type="dxa"/>
              <w:bottom w:w="28" w:type="dxa"/>
              <w:right w:w="28" w:type="dxa"/>
            </w:tcMar>
          </w:tcPr>
          <w:p w14:paraId="2A9F8CE7" w14:textId="058963E3" w:rsidR="00966DF9" w:rsidRPr="00966DF9" w:rsidRDefault="00966DF9" w:rsidP="00E217E4">
            <w:pPr>
              <w:pStyle w:val="ekvtabellelinks"/>
            </w:pPr>
            <w:r w:rsidRPr="00E217E4">
              <w:rPr>
                <w:rStyle w:val="ekvfett"/>
              </w:rPr>
              <w:t>Sukkot (Laubhüttenfest</w:t>
            </w:r>
            <w:r w:rsidRPr="003A6E35">
              <w:rPr>
                <w:bCs/>
              </w:rPr>
              <w:t>)</w:t>
            </w:r>
            <w:r w:rsidRPr="00966DF9">
              <w:t xml:space="preserve"> </w:t>
            </w:r>
            <w:r w:rsidR="00F4245F">
              <w:t xml:space="preserve">– </w:t>
            </w:r>
            <w:r w:rsidRPr="00966DF9">
              <w:t xml:space="preserve">Herbst </w:t>
            </w:r>
            <w:r w:rsidR="00F4245F">
              <w:t>(</w:t>
            </w:r>
            <w:r w:rsidRPr="00966DF9">
              <w:t>15.– 21. Tischri)</w:t>
            </w:r>
          </w:p>
        </w:tc>
        <w:tc>
          <w:tcPr>
            <w:tcW w:w="3119" w:type="dxa"/>
            <w:tcBorders>
              <w:top w:val="single" w:sz="4" w:space="0" w:color="333333"/>
              <w:left w:val="single" w:sz="4" w:space="0" w:color="333333"/>
              <w:bottom w:val="single" w:sz="4" w:space="0" w:color="333333"/>
            </w:tcBorders>
            <w:tcMar>
              <w:top w:w="28" w:type="dxa"/>
              <w:left w:w="28" w:type="dxa"/>
              <w:bottom w:w="28" w:type="dxa"/>
              <w:right w:w="28" w:type="dxa"/>
            </w:tcMar>
          </w:tcPr>
          <w:p w14:paraId="11ABA275" w14:textId="55CDD2B3" w:rsidR="00966DF9" w:rsidRPr="003A6E35" w:rsidRDefault="00966DF9" w:rsidP="00E217E4">
            <w:pPr>
              <w:pStyle w:val="ekvtabellelinks"/>
              <w:ind w:left="255" w:hanging="198"/>
              <w:rPr>
                <w:rStyle w:val="ekvsymbolaufzhlung"/>
                <w:b/>
                <w:bCs/>
                <w:sz w:val="18"/>
                <w:szCs w:val="18"/>
              </w:rPr>
            </w:pPr>
            <w:r w:rsidRPr="00966DF9">
              <w:rPr>
                <w:rStyle w:val="ekvsymbolaufzhlung"/>
              </w:rPr>
              <w:sym w:font="Wingdings" w:char="F06C"/>
            </w:r>
            <w:r w:rsidRPr="00966DF9">
              <w:rPr>
                <w:rStyle w:val="ekvsymbolaufzhlung"/>
              </w:rPr>
              <w:tab/>
            </w:r>
            <w:r w:rsidRPr="00E217E4">
              <w:rPr>
                <w:rStyle w:val="ekvfett"/>
              </w:rPr>
              <w:t>Abschluss der Ernte (Wein, Öl, Früchte)</w:t>
            </w:r>
          </w:p>
          <w:p w14:paraId="008429D7" w14:textId="376B2CA4" w:rsidR="00966DF9" w:rsidRPr="004F4C92" w:rsidRDefault="004F4C92" w:rsidP="00E217E4">
            <w:pPr>
              <w:pStyle w:val="ekvtabellelinks"/>
              <w:ind w:left="255" w:hanging="198"/>
              <w:rPr>
                <w:rStyle w:val="ekvsymbolaufzhlung"/>
                <w:sz w:val="18"/>
                <w:szCs w:val="18"/>
              </w:rPr>
            </w:pPr>
            <w:r w:rsidRPr="004F4C92">
              <w:rPr>
                <w:rStyle w:val="ekvsymbolaufzhlung"/>
                <w:sz w:val="18"/>
                <w:szCs w:val="18"/>
              </w:rPr>
              <w:sym w:font="Wingdings" w:char="F06C"/>
            </w:r>
            <w:r w:rsidRPr="004F4C92">
              <w:rPr>
                <w:rStyle w:val="ekvsymbolaufzhlung"/>
                <w:sz w:val="18"/>
                <w:szCs w:val="18"/>
              </w:rPr>
              <w:tab/>
            </w:r>
            <w:r w:rsidR="00966DF9" w:rsidRPr="004F4C92">
              <w:rPr>
                <w:rStyle w:val="ekvsymbolaufzhlung"/>
                <w:sz w:val="18"/>
                <w:szCs w:val="18"/>
              </w:rPr>
              <w:t>Freuden- und Dankfest</w:t>
            </w:r>
          </w:p>
          <w:p w14:paraId="45ED3AE1" w14:textId="5E38AA7E" w:rsidR="00966DF9" w:rsidRPr="006A5611" w:rsidRDefault="004F4C92" w:rsidP="00E217E4">
            <w:pPr>
              <w:pStyle w:val="ekvtabellelinks"/>
              <w:ind w:left="255" w:hanging="198"/>
              <w:rPr>
                <w:rStyle w:val="ekvsymbolaufzhlung"/>
              </w:rPr>
            </w:pPr>
            <w:r w:rsidRPr="004F4C92">
              <w:rPr>
                <w:rStyle w:val="ekvsymbolaufzhlung"/>
                <w:sz w:val="18"/>
                <w:szCs w:val="18"/>
              </w:rPr>
              <w:sym w:font="Wingdings" w:char="F06C"/>
            </w:r>
            <w:r w:rsidRPr="004F4C92">
              <w:rPr>
                <w:rStyle w:val="ekvsymbolaufzhlung"/>
                <w:sz w:val="18"/>
                <w:szCs w:val="18"/>
              </w:rPr>
              <w:tab/>
            </w:r>
            <w:r w:rsidR="00966DF9" w:rsidRPr="004F4C92">
              <w:rPr>
                <w:rStyle w:val="ekvsymbolaufzhlung"/>
                <w:sz w:val="18"/>
                <w:szCs w:val="18"/>
              </w:rPr>
              <w:t>Einsammeln der Erträge</w:t>
            </w:r>
          </w:p>
        </w:tc>
        <w:tc>
          <w:tcPr>
            <w:tcW w:w="3402" w:type="dxa"/>
            <w:tcBorders>
              <w:top w:val="single" w:sz="4" w:space="0" w:color="333333"/>
              <w:left w:val="single" w:sz="4" w:space="0" w:color="333333"/>
              <w:bottom w:val="single" w:sz="4" w:space="0" w:color="333333"/>
            </w:tcBorders>
            <w:tcMar>
              <w:top w:w="28" w:type="dxa"/>
              <w:left w:w="28" w:type="dxa"/>
              <w:bottom w:w="28" w:type="dxa"/>
              <w:right w:w="28" w:type="dxa"/>
            </w:tcMar>
          </w:tcPr>
          <w:p w14:paraId="02615DF8" w14:textId="184FE9A3" w:rsidR="00A74910" w:rsidRPr="00A74910" w:rsidRDefault="00A74910" w:rsidP="00E217E4">
            <w:pPr>
              <w:pStyle w:val="ekvtabellelinks"/>
            </w:pPr>
            <w:r w:rsidRPr="00A74910">
              <w:t>Ex 34,22</w:t>
            </w:r>
            <w:r>
              <w:t xml:space="preserve">; </w:t>
            </w:r>
            <w:proofErr w:type="spellStart"/>
            <w:r>
              <w:t>Dtn</w:t>
            </w:r>
            <w:proofErr w:type="spellEnd"/>
            <w:r>
              <w:t xml:space="preserve"> 16,13</w:t>
            </w:r>
            <w:r w:rsidR="004057CD">
              <w:t>–</w:t>
            </w:r>
            <w:r>
              <w:t>14</w:t>
            </w:r>
            <w:r w:rsidR="004057CD">
              <w:t xml:space="preserve">; </w:t>
            </w:r>
            <w:r>
              <w:t>Lev 23,42</w:t>
            </w:r>
            <w:r w:rsidR="004057CD">
              <w:t>–</w:t>
            </w:r>
            <w:r>
              <w:t>43</w:t>
            </w:r>
          </w:p>
          <w:p w14:paraId="28DE886D" w14:textId="5EF357BE" w:rsidR="00966DF9" w:rsidRDefault="004F4C92" w:rsidP="00E217E4">
            <w:pPr>
              <w:pStyle w:val="ekvtabellelinks"/>
              <w:ind w:left="253" w:hanging="196"/>
            </w:pPr>
            <w:r w:rsidRPr="006A5611">
              <w:rPr>
                <w:rStyle w:val="ekvsymbolaufzhlung"/>
              </w:rPr>
              <w:sym w:font="Wingdings" w:char="F06C"/>
            </w:r>
            <w:r w:rsidRPr="00C17BE6">
              <w:tab/>
            </w:r>
            <w:r w:rsidR="00966DF9">
              <w:t xml:space="preserve">Der Brauch, während der Erntezeit </w:t>
            </w:r>
            <w:r w:rsidR="00A74910">
              <w:t xml:space="preserve">am Ende des Jahres </w:t>
            </w:r>
            <w:r w:rsidR="00966DF9">
              <w:t>auf dem Feld in provisorischen Hütten („Laubhütten“) zu wohnen, wurde zur Erinnerung an die Wüstenwanderung Israels.</w:t>
            </w:r>
          </w:p>
          <w:p w14:paraId="38F8B616" w14:textId="5C3FEF00" w:rsidR="00966DF9" w:rsidRPr="00966DF9" w:rsidRDefault="004F4C92" w:rsidP="00E217E4">
            <w:pPr>
              <w:pStyle w:val="ekvtabellelinks"/>
              <w:ind w:left="253" w:hanging="196"/>
            </w:pPr>
            <w:r w:rsidRPr="006A5611">
              <w:rPr>
                <w:rStyle w:val="ekvsymbolaufzhlung"/>
              </w:rPr>
              <w:sym w:font="Wingdings" w:char="F06C"/>
            </w:r>
            <w:r w:rsidRPr="00C17BE6">
              <w:tab/>
            </w:r>
            <w:r w:rsidR="00966DF9">
              <w:t>Mit dem Bau der Laubhütte wird heute am Tag nach dem Versöhnungs</w:t>
            </w:r>
            <w:r w:rsidR="005F2BB3">
              <w:t>tag (</w:t>
            </w:r>
            <w:r w:rsidR="00AE616F">
              <w:t>Jom Kippur im 1. Monat des jüdischen Kalenders</w:t>
            </w:r>
            <w:r w:rsidR="005F2BB3">
              <w:t>)</w:t>
            </w:r>
            <w:r w:rsidR="00966DF9">
              <w:t xml:space="preserve"> begonnen.</w:t>
            </w:r>
          </w:p>
        </w:tc>
      </w:tr>
    </w:tbl>
    <w:p w14:paraId="19FA1D06" w14:textId="673445CD" w:rsidR="00A25E55" w:rsidRDefault="009F7653" w:rsidP="009F7653">
      <w:pPr>
        <w:spacing w:after="120"/>
        <w:rPr>
          <w:b/>
        </w:rPr>
      </w:pPr>
      <w:r>
        <w:t xml:space="preserve">*Ex = 2. Buch Mose; Lev = 3. Buch Mose; Num = 4. Buch Mose; </w:t>
      </w:r>
      <w:proofErr w:type="spellStart"/>
      <w:r>
        <w:t>Dtn</w:t>
      </w:r>
      <w:proofErr w:type="spellEnd"/>
      <w:r>
        <w:t xml:space="preserve"> = 5. Buch Mose</w:t>
      </w:r>
    </w:p>
    <w:p w14:paraId="22B0E1EF" w14:textId="76D85AC6" w:rsidR="005F2BB3" w:rsidRDefault="005F2BB3" w:rsidP="00FD20A8"/>
    <w:p w14:paraId="48BDD19C" w14:textId="351F2D52" w:rsidR="00E217E4" w:rsidRDefault="00E217E4" w:rsidP="00FD20A8">
      <w:r>
        <w:t>Aufgaben</w:t>
      </w:r>
    </w:p>
    <w:p w14:paraId="5E4E9687" w14:textId="7E02A175" w:rsidR="00A74910" w:rsidRPr="00E217E4" w:rsidRDefault="00A74910" w:rsidP="00E217E4">
      <w:pPr>
        <w:pStyle w:val="ekvaufzhlung"/>
      </w:pPr>
      <w:r w:rsidRPr="00E217E4">
        <w:t>1</w:t>
      </w:r>
      <w:r w:rsidR="00E217E4">
        <w:t>.</w:t>
      </w:r>
      <w:r w:rsidR="00E217E4" w:rsidRPr="00E217E4">
        <w:tab/>
      </w:r>
      <w:r w:rsidRPr="00E217E4">
        <w:t xml:space="preserve">Die vier Fest in dieser Tabelle sind so angeordnet, wie sie nacheinander im Jahr gefeiert werden. </w:t>
      </w:r>
      <w:r w:rsidR="00E217E4">
        <w:br/>
      </w:r>
      <w:r w:rsidRPr="00E217E4">
        <w:t>Zeige anhand der mittleren Spalte</w:t>
      </w:r>
      <w:r w:rsidR="009F7653" w:rsidRPr="00E217E4">
        <w:t xml:space="preserve"> auf</w:t>
      </w:r>
      <w:r w:rsidRPr="00E217E4">
        <w:t xml:space="preserve">, was zwischen Pessach im Frühjahr und Sukkot (Laubhüttenfest) </w:t>
      </w:r>
      <w:r w:rsidR="00E217E4">
        <w:br/>
      </w:r>
      <w:r w:rsidRPr="00E217E4">
        <w:t xml:space="preserve">im Herbst auf den Feldern und Weiden und </w:t>
      </w:r>
      <w:r w:rsidR="004057CD" w:rsidRPr="00E217E4">
        <w:t xml:space="preserve">in den </w:t>
      </w:r>
      <w:r w:rsidRPr="00E217E4">
        <w:t>Weinbergen Israels passiert.</w:t>
      </w:r>
    </w:p>
    <w:p w14:paraId="6F73BBF4" w14:textId="45FE69AA" w:rsidR="00A74910" w:rsidRPr="00E217E4" w:rsidRDefault="00A74910" w:rsidP="00E217E4">
      <w:pPr>
        <w:pStyle w:val="ekvaufzhlung"/>
      </w:pPr>
    </w:p>
    <w:p w14:paraId="4C28797F" w14:textId="45F911D8" w:rsidR="00A74910" w:rsidRPr="00E217E4" w:rsidRDefault="00A74910" w:rsidP="00E217E4">
      <w:pPr>
        <w:pStyle w:val="ekvaufzhlung"/>
      </w:pPr>
      <w:r w:rsidRPr="00E217E4">
        <w:t>2</w:t>
      </w:r>
      <w:r w:rsidR="00E217E4">
        <w:t>.</w:t>
      </w:r>
      <w:r w:rsidR="00E217E4" w:rsidRPr="00E217E4">
        <w:tab/>
      </w:r>
      <w:r w:rsidR="00AE616F" w:rsidRPr="00E217E4">
        <w:t xml:space="preserve">In den Bibelstellen in der dritten Spalte werden Stationen der Geschichte Israels erzählt. Suche die Texte der Reihe nach in </w:t>
      </w:r>
      <w:r w:rsidR="004057CD" w:rsidRPr="00E217E4">
        <w:t>d</w:t>
      </w:r>
      <w:r w:rsidR="00AE616F" w:rsidRPr="00E217E4">
        <w:t>er Bibel und skizziere diese Geschichte Israels.</w:t>
      </w:r>
    </w:p>
    <w:p w14:paraId="309FA13A" w14:textId="76F90283" w:rsidR="00AE616F" w:rsidRPr="00E217E4" w:rsidRDefault="00AE616F" w:rsidP="00E217E4">
      <w:pPr>
        <w:pStyle w:val="ekvaufzhlung"/>
      </w:pPr>
    </w:p>
    <w:p w14:paraId="49E250A1" w14:textId="7F2E6D8C" w:rsidR="00AE616F" w:rsidRPr="00E217E4" w:rsidRDefault="00AE616F" w:rsidP="00E217E4">
      <w:pPr>
        <w:pStyle w:val="ekvaufzhlung"/>
      </w:pPr>
      <w:r w:rsidRPr="00E217E4">
        <w:t>3</w:t>
      </w:r>
      <w:r w:rsidR="00E217E4">
        <w:t>.</w:t>
      </w:r>
      <w:r w:rsidR="00E217E4" w:rsidRPr="00E217E4">
        <w:tab/>
      </w:r>
      <w:r w:rsidRPr="00E217E4">
        <w:t xml:space="preserve">In der dritten Spalte wird angedeutet, wie die Erinnerung an diese Geschichte bis heute gefeiert wird. </w:t>
      </w:r>
      <w:r w:rsidR="00E217E4">
        <w:br/>
      </w:r>
      <w:r w:rsidRPr="00E217E4">
        <w:t>Stelle Verbindungen her zwischen dem Jahreslauf (Spalte 2) und der Geschichte Israels (Spalte 3).</w:t>
      </w:r>
    </w:p>
    <w:p w14:paraId="4D6E2FF6" w14:textId="1732C603" w:rsidR="00AE616F" w:rsidRPr="00E217E4" w:rsidRDefault="00AE616F" w:rsidP="00E217E4">
      <w:pPr>
        <w:pStyle w:val="ekvaufzhlung"/>
      </w:pPr>
    </w:p>
    <w:p w14:paraId="11E32C2C" w14:textId="332D8B25" w:rsidR="00AE616F" w:rsidRPr="00E217E4" w:rsidRDefault="00A25E55" w:rsidP="00E217E4">
      <w:pPr>
        <w:pStyle w:val="ekvaufzhlung"/>
      </w:pPr>
      <w:r w:rsidRPr="00E217E4">
        <w:t>4</w:t>
      </w:r>
      <w:r w:rsidR="00E217E4">
        <w:t>.</w:t>
      </w:r>
      <w:r w:rsidR="00E217E4" w:rsidRPr="00E217E4">
        <w:tab/>
      </w:r>
      <w:r w:rsidR="009F7653" w:rsidRPr="00E217E4">
        <w:t>Diese vier Feste Israels stehen in einem besonderen Zusammenhang mit den christlichen Festzeiten Passion und Ostern, Pfingsten und Erntedank. Ordne diese christlichen und die vier jüdischen Feste einander zu und vergleiche</w:t>
      </w:r>
      <w:r w:rsidR="004057CD" w:rsidRPr="00E217E4">
        <w:t>.</w:t>
      </w:r>
    </w:p>
    <w:sectPr w:rsidR="00AE616F" w:rsidRPr="00E217E4" w:rsidSect="00720DCE">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933E6" w14:textId="77777777" w:rsidR="00966DF9" w:rsidRDefault="00966DF9" w:rsidP="003C599D">
      <w:pPr>
        <w:spacing w:line="240" w:lineRule="auto"/>
      </w:pPr>
      <w:r>
        <w:separator/>
      </w:r>
    </w:p>
  </w:endnote>
  <w:endnote w:type="continuationSeparator" w:id="0">
    <w:p w14:paraId="618040AF" w14:textId="77777777" w:rsidR="00966DF9" w:rsidRDefault="00966DF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8BD4" w14:textId="77777777" w:rsidR="0017094C" w:rsidRDefault="001709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2E193DA" w14:textId="77777777" w:rsidTr="00503EE6">
      <w:trPr>
        <w:trHeight w:hRule="exact" w:val="680"/>
      </w:trPr>
      <w:tc>
        <w:tcPr>
          <w:tcW w:w="864" w:type="dxa"/>
          <w:noWrap/>
        </w:tcPr>
        <w:p w14:paraId="1FF68309" w14:textId="77777777" w:rsidR="002659C5" w:rsidRPr="00913892" w:rsidRDefault="002659C5" w:rsidP="005E4C30">
          <w:pPr>
            <w:pStyle w:val="ekvpaginabild"/>
            <w:jc w:val="both"/>
          </w:pPr>
          <w:r w:rsidRPr="00913892">
            <w:rPr>
              <w:noProof/>
              <w:lang w:eastAsia="de-DE"/>
            </w:rPr>
            <w:drawing>
              <wp:inline distT="0" distB="0" distL="0" distR="0" wp14:anchorId="3A8A587F" wp14:editId="6871CDE9">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F0DA086" w14:textId="1D4BBA84" w:rsidR="002659C5" w:rsidRPr="00913892" w:rsidRDefault="002659C5" w:rsidP="00503EE6">
          <w:pPr>
            <w:pStyle w:val="ekvpagina"/>
          </w:pPr>
          <w:r w:rsidRPr="00913892">
            <w:t xml:space="preserve">© Ernst Klett Verlag GmbH, </w:t>
          </w:r>
          <w:r w:rsidR="00CF40E8">
            <w:t>Stuttgart 202</w:t>
          </w:r>
          <w:r w:rsidR="0017094C">
            <w:t>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5FA2D9C" w14:textId="157A7735" w:rsidR="002659C5" w:rsidRPr="00913892" w:rsidRDefault="00947DC8" w:rsidP="0017094C">
          <w:pPr>
            <w:pStyle w:val="ekvquelle"/>
          </w:pPr>
          <w:r>
            <w:t xml:space="preserve">Textquellen: </w:t>
          </w:r>
          <w:r w:rsidR="0017094C">
            <w:t>Gerhard Ziener</w:t>
          </w:r>
        </w:p>
      </w:tc>
      <w:tc>
        <w:tcPr>
          <w:tcW w:w="813" w:type="dxa"/>
        </w:tcPr>
        <w:p w14:paraId="49B4A9C4" w14:textId="77777777" w:rsidR="002659C5" w:rsidRPr="00913892" w:rsidRDefault="002659C5" w:rsidP="00913892">
          <w:pPr>
            <w:pStyle w:val="ekvpagina"/>
          </w:pPr>
        </w:p>
      </w:tc>
    </w:tr>
  </w:tbl>
  <w:p w14:paraId="12F1EF42"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7519" w14:textId="77777777" w:rsidR="0017094C" w:rsidRDefault="001709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00BB3" w14:textId="77777777" w:rsidR="00966DF9" w:rsidRDefault="00966DF9" w:rsidP="003C599D">
      <w:pPr>
        <w:spacing w:line="240" w:lineRule="auto"/>
      </w:pPr>
      <w:r>
        <w:separator/>
      </w:r>
    </w:p>
  </w:footnote>
  <w:footnote w:type="continuationSeparator" w:id="0">
    <w:p w14:paraId="5F86E8B4" w14:textId="77777777" w:rsidR="00966DF9" w:rsidRDefault="00966DF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0854" w14:textId="77777777" w:rsidR="0017094C" w:rsidRDefault="001709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B3ED06E" w14:textId="77777777" w:rsidTr="00431E62">
      <w:trPr>
        <w:trHeight w:hRule="exact" w:val="510"/>
      </w:trPr>
      <w:tc>
        <w:tcPr>
          <w:tcW w:w="818" w:type="dxa"/>
          <w:tcBorders>
            <w:top w:val="nil"/>
            <w:bottom w:val="nil"/>
            <w:right w:val="nil"/>
          </w:tcBorders>
          <w:noWrap/>
          <w:vAlign w:val="bottom"/>
        </w:tcPr>
        <w:p w14:paraId="423B195F" w14:textId="77777777" w:rsidR="00901B13" w:rsidRPr="00AE65F6" w:rsidRDefault="00901B13" w:rsidP="00901B13"/>
      </w:tc>
      <w:tc>
        <w:tcPr>
          <w:tcW w:w="3856" w:type="dxa"/>
          <w:tcBorders>
            <w:top w:val="nil"/>
            <w:left w:val="nil"/>
            <w:bottom w:val="nil"/>
            <w:right w:val="nil"/>
          </w:tcBorders>
          <w:noWrap/>
          <w:vAlign w:val="bottom"/>
        </w:tcPr>
        <w:p w14:paraId="7049179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F1A0F8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5D1D58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DFA6E92" w14:textId="77777777" w:rsidR="00901B13" w:rsidRPr="007C1230" w:rsidRDefault="00901B13" w:rsidP="00901B13">
          <w:pPr>
            <w:pStyle w:val="ekvkvnummer"/>
          </w:pPr>
        </w:p>
      </w:tc>
      <w:tc>
        <w:tcPr>
          <w:tcW w:w="883" w:type="dxa"/>
          <w:tcBorders>
            <w:top w:val="nil"/>
            <w:left w:val="nil"/>
            <w:bottom w:val="nil"/>
          </w:tcBorders>
          <w:noWrap/>
          <w:vAlign w:val="bottom"/>
        </w:tcPr>
        <w:p w14:paraId="4B70A38A" w14:textId="77777777" w:rsidR="00901B13" w:rsidRPr="007636A0" w:rsidRDefault="00901B13" w:rsidP="00901B13">
          <w:pPr>
            <w:pStyle w:val="ekvkapitel"/>
            <w:rPr>
              <w:color w:val="FFFFFF" w:themeColor="background1"/>
            </w:rPr>
          </w:pPr>
        </w:p>
      </w:tc>
    </w:tr>
    <w:tr w:rsidR="00901B13" w:rsidRPr="00BF17F2" w14:paraId="17497DD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3CEE9F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3F3B3E7" w14:textId="77777777" w:rsidR="00901B13" w:rsidRPr="00BF17F2" w:rsidRDefault="00901B13" w:rsidP="00901B13">
          <w:pPr>
            <w:rPr>
              <w:color w:val="FFFFFF" w:themeColor="background1"/>
            </w:rPr>
          </w:pPr>
        </w:p>
      </w:tc>
    </w:tr>
  </w:tbl>
  <w:p w14:paraId="796E2BB2"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3ECD" w14:textId="77777777" w:rsidR="0017094C" w:rsidRDefault="0017094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D51DE"/>
    <w:multiLevelType w:val="hybridMultilevel"/>
    <w:tmpl w:val="D0AE34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619144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DF9"/>
    <w:rsid w:val="000040E2"/>
    <w:rsid w:val="0001210D"/>
    <w:rsid w:val="00014D7E"/>
    <w:rsid w:val="0002009E"/>
    <w:rsid w:val="00020440"/>
    <w:rsid w:val="000245A4"/>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7094C"/>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84D"/>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A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A6E35"/>
    <w:rsid w:val="003B01CD"/>
    <w:rsid w:val="003B348E"/>
    <w:rsid w:val="003B3ED5"/>
    <w:rsid w:val="003C113F"/>
    <w:rsid w:val="003C39DC"/>
    <w:rsid w:val="003C599D"/>
    <w:rsid w:val="003D3D68"/>
    <w:rsid w:val="003D70F5"/>
    <w:rsid w:val="003E21AC"/>
    <w:rsid w:val="003E6330"/>
    <w:rsid w:val="003E7B62"/>
    <w:rsid w:val="003F0467"/>
    <w:rsid w:val="003F362F"/>
    <w:rsid w:val="004057CD"/>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D4D01"/>
    <w:rsid w:val="004E3969"/>
    <w:rsid w:val="004F45AB"/>
    <w:rsid w:val="004F4C92"/>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248B"/>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2B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971D4"/>
    <w:rsid w:val="008A529C"/>
    <w:rsid w:val="008B446A"/>
    <w:rsid w:val="008B5E47"/>
    <w:rsid w:val="008C0880"/>
    <w:rsid w:val="008C27FD"/>
    <w:rsid w:val="008D1272"/>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6DF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9F7653"/>
    <w:rsid w:val="00A024FF"/>
    <w:rsid w:val="00A05E18"/>
    <w:rsid w:val="00A06EFE"/>
    <w:rsid w:val="00A13F07"/>
    <w:rsid w:val="00A170E5"/>
    <w:rsid w:val="00A2146F"/>
    <w:rsid w:val="00A22154"/>
    <w:rsid w:val="00A238E9"/>
    <w:rsid w:val="00A23E76"/>
    <w:rsid w:val="00A25E55"/>
    <w:rsid w:val="00A26B32"/>
    <w:rsid w:val="00A27593"/>
    <w:rsid w:val="00A35787"/>
    <w:rsid w:val="00A3685C"/>
    <w:rsid w:val="00A43B4C"/>
    <w:rsid w:val="00A478DC"/>
    <w:rsid w:val="00A62578"/>
    <w:rsid w:val="00A701AF"/>
    <w:rsid w:val="00A7137C"/>
    <w:rsid w:val="00A738F1"/>
    <w:rsid w:val="00A74910"/>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4B50"/>
    <w:rsid w:val="00AC7B89"/>
    <w:rsid w:val="00AD4D22"/>
    <w:rsid w:val="00AE3D8A"/>
    <w:rsid w:val="00AE616F"/>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D6E6B"/>
    <w:rsid w:val="00DE0F07"/>
    <w:rsid w:val="00DE287B"/>
    <w:rsid w:val="00DE603B"/>
    <w:rsid w:val="00DF129D"/>
    <w:rsid w:val="00DF4371"/>
    <w:rsid w:val="00DF625F"/>
    <w:rsid w:val="00DF74DB"/>
    <w:rsid w:val="00E01841"/>
    <w:rsid w:val="00E03EAE"/>
    <w:rsid w:val="00E045FD"/>
    <w:rsid w:val="00E05976"/>
    <w:rsid w:val="00E126C1"/>
    <w:rsid w:val="00E21473"/>
    <w:rsid w:val="00E217E4"/>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45F"/>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3B3"/>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3ABC5"/>
  <w15:chartTrackingRefBased/>
  <w15:docId w15:val="{69CFEB37-807C-4F1F-A444-A33EB4AD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2640</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2026-03-09T13:31:00Z</dcterms:created>
  <dcterms:modified xsi:type="dcterms:W3CDTF">2026-03-09T13:31:00Z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