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8536F" w14:textId="1748C592" w:rsidR="00901B13" w:rsidRDefault="00923260" w:rsidP="00022C18">
      <w:pPr>
        <w:pStyle w:val="ekvue2arial"/>
      </w:pPr>
      <w:r>
        <w:t>Grenzen der Kunstfreiheit</w:t>
      </w:r>
    </w:p>
    <w:p w14:paraId="02CB5598" w14:textId="77777777" w:rsidR="001E5146" w:rsidRDefault="001E5146" w:rsidP="00FD20A8"/>
    <w:p w14:paraId="5646B91E" w14:textId="6467EEF1" w:rsidR="001B1325" w:rsidRDefault="00B16A51" w:rsidP="00B16A51">
      <w:r>
        <w:t xml:space="preserve">In der Ethik bezeichnet der Begriff „Gut“ einen Wert oder ein Recht, das als schützenswert und erstrebenswert gilt. In der Praxis kommt es immer wieder zu Situationen, in denen zwei solcher Güter miteinander in Konflikt geraten und nicht gleichzeitig vollständig verwirklicht werden können. Ein Beispiel ist der Konflikt zwischen der Kunstfreiheit und dem Schutz vor Beleidigung oder Diskriminierung, wenn ein Kunstwerk Menschen verletzt oder provoziert. Die dahinterstehende Frage lautet: </w:t>
      </w:r>
      <w:r w:rsidRPr="00022C18">
        <w:rPr>
          <w:rStyle w:val="ekvkursiv"/>
        </w:rPr>
        <w:t>Darf Kunst alles, auch wenn sich Menschen dadurch angegriffen oder herabgewürdigt fühlen?</w:t>
      </w:r>
      <w:r>
        <w:t xml:space="preserve"> In solchen Fällen muss abgewogen werden, welches Gut in der jeweiligen Situation stärker geschützt werden sollte. Diesen Entscheidungsprozess nennt man Güterabwägung.</w:t>
      </w:r>
    </w:p>
    <w:p w14:paraId="5F926091" w14:textId="77777777" w:rsidR="00B16A51" w:rsidRDefault="00B16A51" w:rsidP="00B16A51"/>
    <w:p w14:paraId="0D53B42F" w14:textId="4DAAE203" w:rsidR="007E2D2E" w:rsidRDefault="0013199E" w:rsidP="00813177">
      <w:pPr>
        <w:pStyle w:val="ekvue3arial"/>
      </w:pPr>
      <w:r>
        <w:t xml:space="preserve">Der </w:t>
      </w:r>
      <w:r w:rsidR="007E2D2E">
        <w:t>Konfliktfall</w:t>
      </w:r>
    </w:p>
    <w:p w14:paraId="1968C302" w14:textId="6B3F3FA8" w:rsidR="008D6D6C" w:rsidRDefault="008D6D6C" w:rsidP="008D6D6C">
      <w:r>
        <w:t>In seiner Sendung „Nuhr im Ersten“ sprach der Kabarettist Dieter Nuhr über Gewalt von Männern gegen Frauen. Er erwähnte, dass in Deutschland jährlich etwa 300 bis 350 Frauen getötet werden. Nuhr betonte, dass jeder dieser Fälle einer zu viel sei. Gleichzeitig meinte er, dass das Risiko für eine einzelne Frau, Opfer eines solchen Verbrechens zu werden, statistisch gesehen sehr gering sei. Außerdem sagte er, Frauen sollten ihren Partner vor dem Sex erst einmal richtig kennenlernen, denn so ließe sich Gewalt vermeiden.</w:t>
      </w:r>
    </w:p>
    <w:p w14:paraId="7E370F4A" w14:textId="630DD614" w:rsidR="00ED1408" w:rsidRDefault="008D6D6C" w:rsidP="008D6D6C">
      <w:r>
        <w:t>Diese Aussagen lösten viele Beschwerden bei der ARD aus. Der Sender erklärte, dass man die Äußerungen unterschiedlich bewerten könne. Sie seien aber durch die Kunstfreiheit geschützt. Es gehöre zur Satire, zu provozieren, unterschiedliche Meinungen hervorzurufen und mit Übertreibungen oder Klischees zu arbeiten.</w:t>
      </w:r>
    </w:p>
    <w:p w14:paraId="69B517B5" w14:textId="77777777" w:rsidR="0013199E" w:rsidRDefault="0013199E" w:rsidP="0013199E">
      <w:pPr>
        <w:rPr>
          <w:rStyle w:val="ekvfett"/>
        </w:rPr>
      </w:pPr>
    </w:p>
    <w:p w14:paraId="3ECC07C5" w14:textId="6C55813B" w:rsidR="0013199E" w:rsidRPr="0013199E" w:rsidRDefault="0013199E" w:rsidP="0013199E">
      <w:pPr>
        <w:pStyle w:val="ekvue3arial"/>
        <w:rPr>
          <w:rStyle w:val="ekvfett"/>
          <w:b/>
        </w:rPr>
      </w:pPr>
      <w:r w:rsidRPr="0013199E">
        <w:rPr>
          <w:rStyle w:val="ekvfett"/>
          <w:b/>
        </w:rPr>
        <w:t>Konkurrierende Güter</w:t>
      </w:r>
    </w:p>
    <w:tbl>
      <w:tblPr>
        <w:tblW w:w="5000" w:type="pct"/>
        <w:tblCellMar>
          <w:left w:w="0" w:type="dxa"/>
          <w:right w:w="0" w:type="dxa"/>
        </w:tblCellMar>
        <w:tblLook w:val="01E0" w:firstRow="1" w:lastRow="1" w:firstColumn="1" w:lastColumn="1" w:noHBand="0" w:noVBand="0"/>
      </w:tblPr>
      <w:tblGrid>
        <w:gridCol w:w="4559"/>
        <w:gridCol w:w="4795"/>
      </w:tblGrid>
      <w:tr w:rsidR="0013199E" w:rsidRPr="009067C1" w14:paraId="72FA0D77" w14:textId="77777777" w:rsidTr="0013199E">
        <w:trPr>
          <w:trHeight w:val="284"/>
        </w:trPr>
        <w:tc>
          <w:tcPr>
            <w:tcW w:w="2437" w:type="pct"/>
            <w:tcBorders>
              <w:bottom w:val="single" w:sz="8" w:space="0" w:color="333333"/>
              <w:right w:val="single" w:sz="4" w:space="0" w:color="333333"/>
            </w:tcBorders>
            <w:shd w:val="clear" w:color="auto" w:fill="FFFFFF" w:themeFill="background1"/>
          </w:tcPr>
          <w:p w14:paraId="6CE18C1C" w14:textId="51C9A0F8" w:rsidR="0013199E" w:rsidRPr="009067C1" w:rsidRDefault="0013199E" w:rsidP="009067C1">
            <w:pPr>
              <w:pStyle w:val="ekvtabellelinks"/>
              <w:rPr>
                <w:rStyle w:val="ekvfett"/>
              </w:rPr>
            </w:pPr>
            <w:r w:rsidRPr="009067C1">
              <w:rPr>
                <w:rStyle w:val="ekvfett"/>
              </w:rPr>
              <w:t>Gut A</w:t>
            </w:r>
          </w:p>
        </w:tc>
        <w:tc>
          <w:tcPr>
            <w:tcW w:w="2563" w:type="pct"/>
            <w:tcBorders>
              <w:left w:val="single" w:sz="4" w:space="0" w:color="333333"/>
              <w:bottom w:val="single" w:sz="8" w:space="0" w:color="333333"/>
            </w:tcBorders>
            <w:shd w:val="clear" w:color="auto" w:fill="FFFFFF" w:themeFill="background1"/>
          </w:tcPr>
          <w:p w14:paraId="23C90CBA" w14:textId="54D563A2" w:rsidR="0013199E" w:rsidRPr="009067C1" w:rsidRDefault="0013199E" w:rsidP="009067C1">
            <w:pPr>
              <w:pStyle w:val="ekvtabellelinks"/>
              <w:rPr>
                <w:rStyle w:val="ekvfett"/>
              </w:rPr>
            </w:pPr>
            <w:r w:rsidRPr="009067C1">
              <w:rPr>
                <w:rStyle w:val="ekvfett"/>
              </w:rPr>
              <w:t>Gut B</w:t>
            </w:r>
          </w:p>
        </w:tc>
      </w:tr>
      <w:tr w:rsidR="0013199E" w:rsidRPr="009067C1" w14:paraId="29BB793C" w14:textId="77777777" w:rsidTr="0013199E">
        <w:trPr>
          <w:trHeight w:val="284"/>
        </w:trPr>
        <w:tc>
          <w:tcPr>
            <w:tcW w:w="2437" w:type="pct"/>
            <w:tcBorders>
              <w:top w:val="single" w:sz="8" w:space="0" w:color="333333"/>
              <w:bottom w:val="single" w:sz="4" w:space="0" w:color="333333"/>
              <w:right w:val="single" w:sz="4" w:space="0" w:color="333333"/>
            </w:tcBorders>
          </w:tcPr>
          <w:p w14:paraId="7DE37C85" w14:textId="77777777" w:rsidR="0013199E" w:rsidRPr="009067C1" w:rsidRDefault="0013199E" w:rsidP="009067C1">
            <w:pPr>
              <w:pStyle w:val="ekvtabellelinks"/>
              <w:rPr>
                <w:rStyle w:val="ekvfett"/>
              </w:rPr>
            </w:pPr>
          </w:p>
        </w:tc>
        <w:tc>
          <w:tcPr>
            <w:tcW w:w="2563" w:type="pct"/>
            <w:tcBorders>
              <w:top w:val="single" w:sz="8" w:space="0" w:color="333333"/>
              <w:left w:val="single" w:sz="4" w:space="0" w:color="333333"/>
              <w:bottom w:val="single" w:sz="4" w:space="0" w:color="333333"/>
            </w:tcBorders>
          </w:tcPr>
          <w:p w14:paraId="1B2D08E8" w14:textId="77777777" w:rsidR="0013199E" w:rsidRPr="009067C1" w:rsidRDefault="0013199E" w:rsidP="009067C1">
            <w:pPr>
              <w:pStyle w:val="ekvtabellelinks"/>
              <w:rPr>
                <w:rStyle w:val="ekvfett"/>
              </w:rPr>
            </w:pPr>
          </w:p>
        </w:tc>
      </w:tr>
      <w:tr w:rsidR="0013199E" w:rsidRPr="009067C1" w14:paraId="6FE62F54" w14:textId="77777777" w:rsidTr="0013199E">
        <w:trPr>
          <w:trHeight w:val="284"/>
        </w:trPr>
        <w:tc>
          <w:tcPr>
            <w:tcW w:w="2437" w:type="pct"/>
            <w:tcBorders>
              <w:top w:val="single" w:sz="4" w:space="0" w:color="333333"/>
              <w:bottom w:val="single" w:sz="4" w:space="0" w:color="333333"/>
              <w:right w:val="single" w:sz="4" w:space="0" w:color="333333"/>
            </w:tcBorders>
          </w:tcPr>
          <w:p w14:paraId="1826BB2E" w14:textId="77777777" w:rsidR="0013199E" w:rsidRPr="009067C1" w:rsidRDefault="0013199E" w:rsidP="009067C1">
            <w:pPr>
              <w:pStyle w:val="ekvtabellelinks"/>
              <w:rPr>
                <w:rStyle w:val="ekvfett"/>
              </w:rPr>
            </w:pPr>
          </w:p>
        </w:tc>
        <w:tc>
          <w:tcPr>
            <w:tcW w:w="2563" w:type="pct"/>
            <w:tcBorders>
              <w:top w:val="single" w:sz="4" w:space="0" w:color="333333"/>
              <w:left w:val="single" w:sz="4" w:space="0" w:color="333333"/>
              <w:bottom w:val="single" w:sz="4" w:space="0" w:color="333333"/>
            </w:tcBorders>
          </w:tcPr>
          <w:p w14:paraId="20E79906" w14:textId="77777777" w:rsidR="0013199E" w:rsidRPr="009067C1" w:rsidRDefault="0013199E" w:rsidP="009067C1">
            <w:pPr>
              <w:pStyle w:val="ekvtabellelinks"/>
              <w:rPr>
                <w:rStyle w:val="ekvfett"/>
              </w:rPr>
            </w:pPr>
          </w:p>
        </w:tc>
      </w:tr>
      <w:tr w:rsidR="0013199E" w:rsidRPr="009067C1" w14:paraId="26F5F206" w14:textId="77777777" w:rsidTr="0013199E">
        <w:trPr>
          <w:trHeight w:val="284"/>
        </w:trPr>
        <w:tc>
          <w:tcPr>
            <w:tcW w:w="2437" w:type="pct"/>
            <w:tcBorders>
              <w:top w:val="single" w:sz="4" w:space="0" w:color="333333"/>
              <w:right w:val="single" w:sz="4" w:space="0" w:color="333333"/>
            </w:tcBorders>
          </w:tcPr>
          <w:p w14:paraId="170E489A" w14:textId="77777777" w:rsidR="0013199E" w:rsidRPr="009067C1" w:rsidRDefault="0013199E" w:rsidP="009067C1">
            <w:pPr>
              <w:pStyle w:val="ekvtabellelinks"/>
              <w:rPr>
                <w:rStyle w:val="ekvfett"/>
              </w:rPr>
            </w:pPr>
          </w:p>
        </w:tc>
        <w:tc>
          <w:tcPr>
            <w:tcW w:w="2563" w:type="pct"/>
            <w:tcBorders>
              <w:top w:val="single" w:sz="4" w:space="0" w:color="333333"/>
              <w:left w:val="single" w:sz="4" w:space="0" w:color="333333"/>
            </w:tcBorders>
          </w:tcPr>
          <w:p w14:paraId="1A04030E" w14:textId="77777777" w:rsidR="0013199E" w:rsidRPr="009067C1" w:rsidRDefault="0013199E" w:rsidP="009067C1">
            <w:pPr>
              <w:pStyle w:val="ekvtabellelinks"/>
              <w:rPr>
                <w:rStyle w:val="ekvfett"/>
              </w:rPr>
            </w:pPr>
          </w:p>
        </w:tc>
      </w:tr>
    </w:tbl>
    <w:p w14:paraId="433BEC35" w14:textId="77777777" w:rsidR="0013199E" w:rsidRDefault="0013199E" w:rsidP="0013199E">
      <w:pPr>
        <w:rPr>
          <w:rStyle w:val="ekvfett"/>
        </w:rPr>
      </w:pPr>
    </w:p>
    <w:p w14:paraId="1B9133D0" w14:textId="72A7361A" w:rsidR="007E2D2E" w:rsidRPr="00B16A51" w:rsidRDefault="0013199E" w:rsidP="00B16A51">
      <w:pPr>
        <w:pStyle w:val="ekvschreiblinie"/>
        <w:rPr>
          <w:b/>
        </w:rPr>
      </w:pPr>
      <w:r w:rsidRPr="0013199E">
        <w:rPr>
          <w:rStyle w:val="ekvfett"/>
        </w:rPr>
        <w:t xml:space="preserve">Die Frage: </w:t>
      </w:r>
      <w:r w:rsidRPr="0013199E">
        <w:rPr>
          <w:rStyle w:val="ekvfett"/>
          <w:u w:val="single"/>
        </w:rPr>
        <w:tab/>
      </w:r>
      <w:r w:rsidR="00B16A51">
        <w:rPr>
          <w:rStyle w:val="ekvfett"/>
          <w:u w:val="single"/>
        </w:rPr>
        <w:tab/>
      </w:r>
      <w:r w:rsidR="00B16A51">
        <w:rPr>
          <w:rStyle w:val="ekvfett"/>
          <w:u w:val="single"/>
        </w:rPr>
        <w:tab/>
      </w:r>
      <w:r w:rsidR="00B16A51">
        <w:rPr>
          <w:rStyle w:val="ekvfett"/>
          <w:u w:val="single"/>
        </w:rPr>
        <w:tab/>
      </w:r>
      <w:r w:rsidR="00B16A51">
        <w:rPr>
          <w:rStyle w:val="ekvfett"/>
          <w:u w:val="single"/>
        </w:rPr>
        <w:tab/>
      </w:r>
    </w:p>
    <w:tbl>
      <w:tblPr>
        <w:tblW w:w="5000" w:type="pct"/>
        <w:tblCellMar>
          <w:left w:w="0" w:type="dxa"/>
          <w:right w:w="0" w:type="dxa"/>
        </w:tblCellMar>
        <w:tblLook w:val="01E0" w:firstRow="1" w:lastRow="1" w:firstColumn="1" w:lastColumn="1" w:noHBand="0" w:noVBand="0"/>
      </w:tblPr>
      <w:tblGrid>
        <w:gridCol w:w="4677"/>
        <w:gridCol w:w="4677"/>
      </w:tblGrid>
      <w:tr w:rsidR="007E2D2E" w:rsidRPr="003C39DC" w14:paraId="43FCF7CD" w14:textId="77777777" w:rsidTr="007E2D2E">
        <w:trPr>
          <w:trHeight w:val="284"/>
        </w:trPr>
        <w:tc>
          <w:tcPr>
            <w:tcW w:w="2500" w:type="pct"/>
            <w:tcBorders>
              <w:top w:val="single" w:sz="8" w:space="0" w:color="333333"/>
              <w:bottom w:val="single" w:sz="4" w:space="0" w:color="333333"/>
              <w:right w:val="single" w:sz="4" w:space="0" w:color="333333"/>
            </w:tcBorders>
          </w:tcPr>
          <w:p w14:paraId="6F455449" w14:textId="77777777" w:rsidR="007E2D2E" w:rsidRPr="008D6D6C" w:rsidRDefault="007E2D2E" w:rsidP="009067C1">
            <w:pPr>
              <w:pStyle w:val="ekvtabellelinks"/>
              <w:rPr>
                <w:rStyle w:val="ekvfett"/>
              </w:rPr>
            </w:pPr>
            <w:r w:rsidRPr="008D6D6C">
              <w:rPr>
                <w:rStyle w:val="ekvfett"/>
              </w:rPr>
              <w:t>Gruppe 1 (Utilitarismus)</w:t>
            </w:r>
          </w:p>
          <w:p w14:paraId="5ECD2756" w14:textId="3EC33DE5" w:rsidR="003F25BC" w:rsidRPr="003C39DC" w:rsidRDefault="003F25BC" w:rsidP="009067C1">
            <w:pPr>
              <w:pStyle w:val="ekvtabellelinks"/>
            </w:pPr>
            <w:r>
              <w:t>Handle so, dass die Folgen deines Handelns den g</w:t>
            </w:r>
            <w:r w:rsidR="00ED1408">
              <w:t>r</w:t>
            </w:r>
            <w:r>
              <w:t xml:space="preserve">ößtmöglichen Nutzen für die möglichst viele Menschen </w:t>
            </w:r>
            <w:r w:rsidR="00ED1408">
              <w:t>bringen</w:t>
            </w:r>
            <w:r>
              <w:t>.</w:t>
            </w:r>
            <w:r w:rsidR="008D6D6C">
              <w:t xml:space="preserve"> Das kann bedeute</w:t>
            </w:r>
            <w:r w:rsidR="001B1325">
              <w:t>n</w:t>
            </w:r>
            <w:r w:rsidR="008D6D6C">
              <w:t xml:space="preserve">, mehr Glück zu erzeugen oder weniger </w:t>
            </w:r>
            <w:proofErr w:type="gramStart"/>
            <w:r w:rsidR="008D6D6C">
              <w:t>Leid</w:t>
            </w:r>
            <w:proofErr w:type="gramEnd"/>
            <w:r w:rsidR="008D6D6C">
              <w:t xml:space="preserve"> zu verursachen.</w:t>
            </w:r>
          </w:p>
        </w:tc>
        <w:tc>
          <w:tcPr>
            <w:tcW w:w="2500" w:type="pct"/>
            <w:tcBorders>
              <w:top w:val="single" w:sz="8" w:space="0" w:color="333333"/>
              <w:left w:val="single" w:sz="4" w:space="0" w:color="333333"/>
              <w:bottom w:val="single" w:sz="4" w:space="0" w:color="333333"/>
            </w:tcBorders>
          </w:tcPr>
          <w:p w14:paraId="6C24F1E0" w14:textId="056CCD0B" w:rsidR="007E2D2E" w:rsidRPr="008D6D6C" w:rsidRDefault="007E2D2E" w:rsidP="009067C1">
            <w:pPr>
              <w:pStyle w:val="ekvtabellelinks"/>
              <w:rPr>
                <w:rStyle w:val="ekvfett"/>
              </w:rPr>
            </w:pPr>
            <w:r w:rsidRPr="008D6D6C">
              <w:rPr>
                <w:rStyle w:val="ekvfett"/>
              </w:rPr>
              <w:t>Gruppe 2 (</w:t>
            </w:r>
            <w:r w:rsidR="00022C18">
              <w:rPr>
                <w:rStyle w:val="ekvfett"/>
              </w:rPr>
              <w:t>Tugendethik</w:t>
            </w:r>
            <w:r w:rsidRPr="008D6D6C">
              <w:rPr>
                <w:rStyle w:val="ekvfett"/>
              </w:rPr>
              <w:t>)</w:t>
            </w:r>
          </w:p>
          <w:p w14:paraId="7F6AEC6C" w14:textId="652B0303" w:rsidR="003F25BC" w:rsidRPr="003C39DC" w:rsidRDefault="001B1325" w:rsidP="009067C1">
            <w:pPr>
              <w:pStyle w:val="ekvtabellelinks"/>
            </w:pPr>
            <w:r w:rsidRPr="001B1325">
              <w:t>Handle so, dass die Maxime deines Handelns zur allgemeinen Gesetzgebung werden könnte. Das bedeutet, dass du so handeln solltest, wie du erwarten würdest, dass andere Menschen in derselben Situation handeln</w:t>
            </w:r>
            <w:r w:rsidR="008D6D6C">
              <w:t>.</w:t>
            </w:r>
          </w:p>
        </w:tc>
      </w:tr>
      <w:tr w:rsidR="007E2D2E" w:rsidRPr="003C39DC" w14:paraId="2F8D063F" w14:textId="77777777" w:rsidTr="007E2D2E">
        <w:trPr>
          <w:trHeight w:val="284"/>
        </w:trPr>
        <w:tc>
          <w:tcPr>
            <w:tcW w:w="2500" w:type="pct"/>
            <w:tcBorders>
              <w:top w:val="single" w:sz="4" w:space="0" w:color="333333"/>
              <w:right w:val="single" w:sz="4" w:space="0" w:color="333333"/>
            </w:tcBorders>
          </w:tcPr>
          <w:p w14:paraId="67084E6C" w14:textId="35A30A31" w:rsidR="007E2D2E" w:rsidRPr="008D6D6C" w:rsidRDefault="007E2D2E" w:rsidP="009067C1">
            <w:pPr>
              <w:pStyle w:val="ekvtabellelinks"/>
              <w:rPr>
                <w:rStyle w:val="ekvfett"/>
              </w:rPr>
            </w:pPr>
            <w:r w:rsidRPr="008D6D6C">
              <w:rPr>
                <w:rStyle w:val="ekvfett"/>
              </w:rPr>
              <w:t>Gruppe 3 (</w:t>
            </w:r>
            <w:r w:rsidR="00ED1408" w:rsidRPr="008D6D6C">
              <w:rPr>
                <w:rStyle w:val="ekvfett"/>
              </w:rPr>
              <w:t>Verantwortungsethik</w:t>
            </w:r>
            <w:r w:rsidRPr="008D6D6C">
              <w:rPr>
                <w:rStyle w:val="ekvfett"/>
              </w:rPr>
              <w:t>)</w:t>
            </w:r>
          </w:p>
          <w:p w14:paraId="5ABB4405" w14:textId="4300099B" w:rsidR="00ED1408" w:rsidRPr="003C39DC" w:rsidRDefault="001B1325" w:rsidP="009067C1">
            <w:pPr>
              <w:pStyle w:val="ekvtabellelinks"/>
            </w:pPr>
            <w:r w:rsidRPr="001B1325">
              <w:t>Du trägst nicht nur Verantwortung für deine unmittelbare Handlung, sondern auch für ihre vorhersehbaren Folgen. Du musst dir über die Auswirkungen deiner Entscheidung auf andere Menschen in der Zukunft Gedanken machen.</w:t>
            </w:r>
          </w:p>
        </w:tc>
        <w:tc>
          <w:tcPr>
            <w:tcW w:w="2500" w:type="pct"/>
            <w:tcBorders>
              <w:top w:val="single" w:sz="4" w:space="0" w:color="333333"/>
              <w:left w:val="single" w:sz="4" w:space="0" w:color="333333"/>
            </w:tcBorders>
          </w:tcPr>
          <w:p w14:paraId="7BA96562" w14:textId="6845CB64" w:rsidR="007E2D2E" w:rsidRPr="008D6D6C" w:rsidRDefault="007E2D2E" w:rsidP="009067C1">
            <w:pPr>
              <w:pStyle w:val="ekvtabellelinks"/>
              <w:rPr>
                <w:rStyle w:val="ekvfett"/>
              </w:rPr>
            </w:pPr>
            <w:r w:rsidRPr="008D6D6C">
              <w:rPr>
                <w:rStyle w:val="ekvfett"/>
              </w:rPr>
              <w:t>Gruppe 4 (</w:t>
            </w:r>
            <w:r w:rsidR="00ED1408" w:rsidRPr="008D6D6C">
              <w:rPr>
                <w:rStyle w:val="ekvfett"/>
              </w:rPr>
              <w:t>Gesinnungsethik</w:t>
            </w:r>
            <w:r w:rsidRPr="008D6D6C">
              <w:rPr>
                <w:rStyle w:val="ekvfett"/>
              </w:rPr>
              <w:t>)</w:t>
            </w:r>
          </w:p>
          <w:p w14:paraId="5D2D57C5" w14:textId="7F881668" w:rsidR="003F25BC" w:rsidRPr="003C39DC" w:rsidRDefault="001B1325" w:rsidP="009067C1">
            <w:pPr>
              <w:pStyle w:val="ekvtabellelinks"/>
            </w:pPr>
            <w:r w:rsidRPr="001B1325">
              <w:t>Entscheidend ist, mit guter Absicht zu handeln und den eigenen moralischen Überzeugungen treu zu bleiben, selbst wenn die Folgen ungünstig ausfallen</w:t>
            </w:r>
            <w:r w:rsidR="00ED1408" w:rsidRPr="00ED1408">
              <w:t>.</w:t>
            </w:r>
          </w:p>
        </w:tc>
      </w:tr>
    </w:tbl>
    <w:p w14:paraId="03826BC5" w14:textId="77777777" w:rsidR="003F25BC" w:rsidRDefault="003F25BC" w:rsidP="007E2D2E"/>
    <w:p w14:paraId="2D4CA3F7" w14:textId="4D2B116F" w:rsidR="007E2D2E" w:rsidRDefault="007E2D2E" w:rsidP="00813177">
      <w:pPr>
        <w:pStyle w:val="ekvue3arial"/>
      </w:pPr>
      <w:r>
        <w:t>Aufgaben</w:t>
      </w:r>
    </w:p>
    <w:p w14:paraId="69CA5CAE" w14:textId="1BC3E170" w:rsidR="007E2D2E" w:rsidRDefault="00813177" w:rsidP="00022C18">
      <w:pPr>
        <w:pStyle w:val="ekvaufzhlung"/>
      </w:pPr>
      <w:r>
        <w:t>1.</w:t>
      </w:r>
      <w:r w:rsidR="00022C18">
        <w:tab/>
      </w:r>
      <w:r w:rsidR="007E2D2E">
        <w:t xml:space="preserve">Lest den einleitenden Text und </w:t>
      </w:r>
      <w:r>
        <w:t>erklärt das Prinzip der Güterabwägung.</w:t>
      </w:r>
    </w:p>
    <w:p w14:paraId="4BB060DB" w14:textId="21612C2B" w:rsidR="0013199E" w:rsidRDefault="00813177" w:rsidP="00022C18">
      <w:pPr>
        <w:pStyle w:val="ekvaufzhlung"/>
      </w:pPr>
      <w:r>
        <w:t>2.</w:t>
      </w:r>
      <w:r w:rsidR="00022C18">
        <w:tab/>
      </w:r>
      <w:r>
        <w:t>Lest den Konfliktfall.</w:t>
      </w:r>
      <w:r w:rsidR="00923260">
        <w:t xml:space="preserve"> </w:t>
      </w:r>
      <w:r w:rsidR="003F25BC" w:rsidRPr="003F25BC">
        <w:t>Notier</w:t>
      </w:r>
      <w:r w:rsidR="003F25BC">
        <w:t xml:space="preserve">t </w:t>
      </w:r>
      <w:r w:rsidR="003F25BC" w:rsidRPr="003F25BC">
        <w:t>Güter, die miteinander konkurrieren</w:t>
      </w:r>
      <w:r w:rsidR="0013199E">
        <w:t>.</w:t>
      </w:r>
      <w:r w:rsidR="008D6D6C">
        <w:t xml:space="preserve"> </w:t>
      </w:r>
    </w:p>
    <w:p w14:paraId="361998D0" w14:textId="12DCA4A2" w:rsidR="003F25BC" w:rsidRDefault="0013199E" w:rsidP="00022C18">
      <w:pPr>
        <w:pStyle w:val="ekvaufzhlung"/>
      </w:pPr>
      <w:r>
        <w:t>3.</w:t>
      </w:r>
      <w:r w:rsidR="00022C18">
        <w:tab/>
      </w:r>
      <w:r>
        <w:t>F</w:t>
      </w:r>
      <w:r w:rsidR="008D6D6C">
        <w:t>ormuliert eine passende konkrete ethische Frage</w:t>
      </w:r>
      <w:r>
        <w:t xml:space="preserve">, die sich aus der </w:t>
      </w:r>
      <w:r w:rsidR="00923260">
        <w:t>Konkurrenz der Güter ergibt.</w:t>
      </w:r>
    </w:p>
    <w:p w14:paraId="730EB5B4" w14:textId="03F80992" w:rsidR="0013199E" w:rsidRDefault="0013199E" w:rsidP="00022C18">
      <w:pPr>
        <w:pStyle w:val="ekvaufzhlung"/>
      </w:pPr>
      <w:r>
        <w:t>4</w:t>
      </w:r>
      <w:r w:rsidR="00813177">
        <w:t>.</w:t>
      </w:r>
      <w:r w:rsidR="00022C18">
        <w:tab/>
      </w:r>
      <w:r>
        <w:t>Teilt euch in vier Gruppen auf und wendet die jeweilige ethische Theorie auf den Konflik</w:t>
      </w:r>
      <w:r w:rsidR="001B1325">
        <w:t>t</w:t>
      </w:r>
      <w:r>
        <w:t xml:space="preserve">fall und eure konkrete Frage an. </w:t>
      </w:r>
      <w:r w:rsidR="00813177">
        <w:t xml:space="preserve">Präsentiert euch gegenseitig eure Lösungen. </w:t>
      </w:r>
    </w:p>
    <w:p w14:paraId="1F322714" w14:textId="0E961167" w:rsidR="003F25BC" w:rsidRDefault="0013199E" w:rsidP="00022C18">
      <w:pPr>
        <w:pStyle w:val="ekvaufzhlung"/>
      </w:pPr>
      <w:r>
        <w:t>5.</w:t>
      </w:r>
      <w:r w:rsidR="00022C18">
        <w:tab/>
      </w:r>
      <w:r w:rsidR="00813177">
        <w:t xml:space="preserve">Diskutiert </w:t>
      </w:r>
      <w:r w:rsidR="001B1325">
        <w:t xml:space="preserve">die </w:t>
      </w:r>
      <w:r w:rsidR="00813177">
        <w:t xml:space="preserve">Ursachen für eure unterschiedlichen Lösungen und wie in der Praxis mit dieser Vielfalt an Lösungen </w:t>
      </w:r>
      <w:r w:rsidR="001B1325">
        <w:t>umgegangen werden kann.</w:t>
      </w:r>
    </w:p>
    <w:p w14:paraId="385DF56C" w14:textId="0D2A6902" w:rsidR="003F25BC" w:rsidRDefault="0013199E" w:rsidP="00022C18">
      <w:pPr>
        <w:pStyle w:val="ekvaufzhlung"/>
      </w:pPr>
      <w:r>
        <w:t>6</w:t>
      </w:r>
      <w:r w:rsidR="00813177">
        <w:t>.</w:t>
      </w:r>
      <w:r w:rsidR="00022C18">
        <w:tab/>
      </w:r>
      <w:r w:rsidR="003F25BC">
        <w:t>Tauscht euch darüber aus: Gibt es Güter, die bei einer Abwägung unverletzlich sein müssen?</w:t>
      </w:r>
    </w:p>
    <w:sectPr w:rsidR="003F25BC" w:rsidSect="00720DCE">
      <w:headerReference w:type="default" r:id="rId6"/>
      <w:footerReference w:type="default" r:id="rId7"/>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CB377" w14:textId="77777777" w:rsidR="00FE75F8" w:rsidRDefault="00FE75F8" w:rsidP="003C599D">
      <w:pPr>
        <w:spacing w:line="240" w:lineRule="auto"/>
      </w:pPr>
      <w:r>
        <w:separator/>
      </w:r>
    </w:p>
  </w:endnote>
  <w:endnote w:type="continuationSeparator" w:id="0">
    <w:p w14:paraId="4AB6D1BF" w14:textId="77777777" w:rsidR="00FE75F8" w:rsidRDefault="00FE75F8"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2F8F2687" w14:textId="77777777" w:rsidTr="00503EE6">
      <w:trPr>
        <w:trHeight w:hRule="exact" w:val="680"/>
      </w:trPr>
      <w:tc>
        <w:tcPr>
          <w:tcW w:w="864" w:type="dxa"/>
          <w:noWrap/>
        </w:tcPr>
        <w:p w14:paraId="0C153540" w14:textId="77777777" w:rsidR="002659C5" w:rsidRPr="00913892" w:rsidRDefault="002659C5" w:rsidP="005E4C30">
          <w:pPr>
            <w:pStyle w:val="ekvpaginabild"/>
            <w:jc w:val="both"/>
          </w:pPr>
          <w:r w:rsidRPr="00913892">
            <w:rPr>
              <w:noProof/>
              <w:lang w:eastAsia="de-DE"/>
            </w:rPr>
            <w:drawing>
              <wp:inline distT="0" distB="0" distL="0" distR="0" wp14:anchorId="24CBA1AF" wp14:editId="330682ED">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24A89625" w14:textId="4A85D985" w:rsidR="002659C5" w:rsidRPr="00913892" w:rsidRDefault="002659C5" w:rsidP="00503EE6">
          <w:pPr>
            <w:pStyle w:val="ekvpagina"/>
          </w:pPr>
          <w:r w:rsidRPr="00913892">
            <w:t xml:space="preserve">© Ernst Klett Verlag GmbH, </w:t>
          </w:r>
          <w:r w:rsidR="00CF40E8">
            <w:t xml:space="preserve">Stuttgart </w:t>
          </w:r>
          <w:r w:rsidR="00296D55">
            <w:t>2026</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7294D542" w14:textId="0E0DA680" w:rsidR="00022C18" w:rsidRPr="00913892" w:rsidRDefault="00947DC8" w:rsidP="00022C18">
          <w:pPr>
            <w:pStyle w:val="ekvquelle"/>
          </w:pPr>
          <w:r>
            <w:t xml:space="preserve">Textquellen: </w:t>
          </w:r>
          <w:r w:rsidR="00022C18">
            <w:t>Claudius Kretzer (Autor)</w:t>
          </w:r>
        </w:p>
        <w:p w14:paraId="18075DA4" w14:textId="228BF58A" w:rsidR="002659C5" w:rsidRPr="00913892" w:rsidRDefault="002659C5" w:rsidP="00947DC8">
          <w:pPr>
            <w:pStyle w:val="ekvquelle"/>
          </w:pPr>
        </w:p>
      </w:tc>
      <w:tc>
        <w:tcPr>
          <w:tcW w:w="813" w:type="dxa"/>
        </w:tcPr>
        <w:p w14:paraId="6DA0093C" w14:textId="77777777" w:rsidR="002659C5" w:rsidRPr="00913892" w:rsidRDefault="002659C5" w:rsidP="00913892">
          <w:pPr>
            <w:pStyle w:val="ekvpagina"/>
          </w:pPr>
        </w:p>
      </w:tc>
    </w:tr>
  </w:tbl>
  <w:p w14:paraId="21C5D9E5"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59364" w14:textId="77777777" w:rsidR="00FE75F8" w:rsidRDefault="00FE75F8" w:rsidP="003C599D">
      <w:pPr>
        <w:spacing w:line="240" w:lineRule="auto"/>
      </w:pPr>
      <w:r>
        <w:separator/>
      </w:r>
    </w:p>
  </w:footnote>
  <w:footnote w:type="continuationSeparator" w:id="0">
    <w:p w14:paraId="37E140EA" w14:textId="77777777" w:rsidR="00FE75F8" w:rsidRDefault="00FE75F8"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38E4DBB7" w14:textId="77777777" w:rsidTr="00431E62">
      <w:trPr>
        <w:trHeight w:hRule="exact" w:val="510"/>
      </w:trPr>
      <w:tc>
        <w:tcPr>
          <w:tcW w:w="818" w:type="dxa"/>
          <w:tcBorders>
            <w:top w:val="nil"/>
            <w:bottom w:val="nil"/>
            <w:right w:val="nil"/>
          </w:tcBorders>
          <w:noWrap/>
          <w:vAlign w:val="bottom"/>
        </w:tcPr>
        <w:p w14:paraId="28D934CA" w14:textId="77777777" w:rsidR="00901B13" w:rsidRPr="00AE65F6" w:rsidRDefault="00901B13" w:rsidP="00901B13"/>
      </w:tc>
      <w:tc>
        <w:tcPr>
          <w:tcW w:w="3856" w:type="dxa"/>
          <w:tcBorders>
            <w:top w:val="nil"/>
            <w:left w:val="nil"/>
            <w:bottom w:val="nil"/>
            <w:right w:val="nil"/>
          </w:tcBorders>
          <w:noWrap/>
          <w:vAlign w:val="bottom"/>
        </w:tcPr>
        <w:p w14:paraId="2FCAF80F"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189B26A7"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132687EC"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48392580" w14:textId="77777777" w:rsidR="00901B13" w:rsidRPr="007C1230" w:rsidRDefault="00901B13" w:rsidP="00901B13">
          <w:pPr>
            <w:pStyle w:val="ekvkvnummer"/>
          </w:pPr>
        </w:p>
      </w:tc>
      <w:tc>
        <w:tcPr>
          <w:tcW w:w="883" w:type="dxa"/>
          <w:tcBorders>
            <w:top w:val="nil"/>
            <w:left w:val="nil"/>
            <w:bottom w:val="nil"/>
          </w:tcBorders>
          <w:noWrap/>
          <w:vAlign w:val="bottom"/>
        </w:tcPr>
        <w:p w14:paraId="53608540" w14:textId="77777777" w:rsidR="00901B13" w:rsidRPr="007636A0" w:rsidRDefault="00901B13" w:rsidP="00901B13">
          <w:pPr>
            <w:pStyle w:val="ekvkapitel"/>
            <w:rPr>
              <w:color w:val="FFFFFF" w:themeColor="background1"/>
            </w:rPr>
          </w:pPr>
        </w:p>
      </w:tc>
    </w:tr>
    <w:tr w:rsidR="00901B13" w:rsidRPr="00BF17F2" w14:paraId="1F2F2366"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3ECDD1CC"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78F66289" w14:textId="77777777" w:rsidR="00901B13" w:rsidRPr="00BF17F2" w:rsidRDefault="00901B13" w:rsidP="00901B13">
          <w:pPr>
            <w:rPr>
              <w:color w:val="FFFFFF" w:themeColor="background1"/>
            </w:rPr>
          </w:pPr>
        </w:p>
      </w:tc>
    </w:tr>
  </w:tbl>
  <w:p w14:paraId="6E6DBCD2"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146"/>
    <w:rsid w:val="000040E2"/>
    <w:rsid w:val="0001210D"/>
    <w:rsid w:val="00014D7E"/>
    <w:rsid w:val="0002009E"/>
    <w:rsid w:val="00020440"/>
    <w:rsid w:val="00022C18"/>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6C5C"/>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199E"/>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1325"/>
    <w:rsid w:val="001B454A"/>
    <w:rsid w:val="001C2DC7"/>
    <w:rsid w:val="001C2F20"/>
    <w:rsid w:val="001C3792"/>
    <w:rsid w:val="001C499E"/>
    <w:rsid w:val="001C6C8F"/>
    <w:rsid w:val="001D0CB4"/>
    <w:rsid w:val="001D1169"/>
    <w:rsid w:val="001D2674"/>
    <w:rsid w:val="001D39FD"/>
    <w:rsid w:val="001D7E89"/>
    <w:rsid w:val="001E485B"/>
    <w:rsid w:val="001E5146"/>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047F"/>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96D55"/>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25BC"/>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168F"/>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3450"/>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C7F7F"/>
    <w:rsid w:val="007D186F"/>
    <w:rsid w:val="007E2D2E"/>
    <w:rsid w:val="007E4DDC"/>
    <w:rsid w:val="007E5E71"/>
    <w:rsid w:val="007E67B3"/>
    <w:rsid w:val="008018A8"/>
    <w:rsid w:val="00801B7F"/>
    <w:rsid w:val="00802E02"/>
    <w:rsid w:val="00810225"/>
    <w:rsid w:val="008123BA"/>
    <w:rsid w:val="00813177"/>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6D6C"/>
    <w:rsid w:val="008D7FDC"/>
    <w:rsid w:val="008E4B7A"/>
    <w:rsid w:val="008E6248"/>
    <w:rsid w:val="008F6EDE"/>
    <w:rsid w:val="00901B13"/>
    <w:rsid w:val="00902002"/>
    <w:rsid w:val="00902CEB"/>
    <w:rsid w:val="009064C0"/>
    <w:rsid w:val="009067C1"/>
    <w:rsid w:val="009078CB"/>
    <w:rsid w:val="00907EC2"/>
    <w:rsid w:val="00912A0A"/>
    <w:rsid w:val="00913598"/>
    <w:rsid w:val="00913892"/>
    <w:rsid w:val="0091722D"/>
    <w:rsid w:val="009215E3"/>
    <w:rsid w:val="00923260"/>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91"/>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16A51"/>
    <w:rsid w:val="00B2194E"/>
    <w:rsid w:val="00B31F29"/>
    <w:rsid w:val="00B32DAF"/>
    <w:rsid w:val="00B3499A"/>
    <w:rsid w:val="00B37E68"/>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13BD"/>
    <w:rsid w:val="00E552A4"/>
    <w:rsid w:val="00E604BE"/>
    <w:rsid w:val="00E6190A"/>
    <w:rsid w:val="00E63251"/>
    <w:rsid w:val="00E70A9C"/>
    <w:rsid w:val="00E70C40"/>
    <w:rsid w:val="00E710C7"/>
    <w:rsid w:val="00E80DED"/>
    <w:rsid w:val="00E8369E"/>
    <w:rsid w:val="00E95ED3"/>
    <w:rsid w:val="00EA2224"/>
    <w:rsid w:val="00EA5A1A"/>
    <w:rsid w:val="00EA7542"/>
    <w:rsid w:val="00EB2280"/>
    <w:rsid w:val="00EC1621"/>
    <w:rsid w:val="00EC1FF0"/>
    <w:rsid w:val="00EC662E"/>
    <w:rsid w:val="00ED07FE"/>
    <w:rsid w:val="00ED0B7D"/>
    <w:rsid w:val="00ED1408"/>
    <w:rsid w:val="00EE049D"/>
    <w:rsid w:val="00EE2721"/>
    <w:rsid w:val="00EE2A0B"/>
    <w:rsid w:val="00EF3796"/>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3C14"/>
    <w:rsid w:val="00FE4FE6"/>
    <w:rsid w:val="00FE75F8"/>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DBDC9"/>
  <w15:chartTrackingRefBased/>
  <w15:docId w15:val="{EB6AAB13-C223-434F-A79F-60E4FDAF8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qFormat/>
    <w:rsid w:val="0044185E"/>
    <w:pPr>
      <w:shd w:val="clear" w:color="auto" w:fill="A6A6A6" w:themeFill="background1" w:themeFillShade="A6"/>
      <w:spacing w:before="40" w:after="120"/>
    </w:pPr>
  </w:style>
  <w:style w:type="paragraph" w:customStyle="1" w:styleId="ekvboxtext">
    <w:name w:val="ekv.box.text"/>
    <w:basedOn w:val="Standard"/>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441</Words>
  <Characters>2780</Characters>
  <Application>Microsoft Office Word</Application>
  <DocSecurity>4</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2026-07-02T05:44:00Z</dcterms:created>
  <dcterms:modified xsi:type="dcterms:W3CDTF">2026-07-02T05:44:00Z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